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bCs/>
          <w:sz w:val="44"/>
        </w:rPr>
      </w:pPr>
    </w:p>
    <w:p>
      <w:pPr>
        <w:tabs>
          <w:tab w:val="left" w:pos="6660"/>
        </w:tabs>
        <w:spacing w:line="360" w:lineRule="auto"/>
        <w:jc w:val="center"/>
        <w:rPr>
          <w:bCs/>
          <w:sz w:val="44"/>
        </w:rPr>
      </w:pPr>
    </w:p>
    <w:p>
      <w:pPr>
        <w:spacing w:line="360" w:lineRule="auto"/>
        <w:jc w:val="center"/>
        <w:rPr>
          <w:bCs/>
          <w:sz w:val="24"/>
        </w:rPr>
      </w:pPr>
    </w:p>
    <w:p>
      <w:pPr>
        <w:jc w:val="center"/>
        <w:rPr>
          <w:b/>
          <w:sz w:val="52"/>
        </w:rPr>
      </w:pPr>
      <w:r>
        <w:rPr>
          <w:rFonts w:hint="eastAsia"/>
          <w:b/>
          <w:sz w:val="52"/>
        </w:rPr>
        <w:t>太平</w:t>
      </w:r>
      <w:r>
        <w:rPr>
          <w:b/>
          <w:sz w:val="52"/>
        </w:rPr>
        <w:t>基金管理有限公司</w:t>
      </w:r>
    </w:p>
    <w:p>
      <w:pPr>
        <w:rPr>
          <w:b/>
        </w:rPr>
      </w:pPr>
    </w:p>
    <w:p>
      <w:pPr>
        <w:jc w:val="center"/>
        <w:rPr>
          <w:b/>
          <w:sz w:val="52"/>
        </w:rPr>
      </w:pPr>
    </w:p>
    <w:p>
      <w:pPr>
        <w:jc w:val="center"/>
        <w:rPr>
          <w:b/>
          <w:sz w:val="48"/>
        </w:rPr>
      </w:pPr>
      <w:bookmarkStart w:id="0" w:name="_Toc123112223"/>
      <w:bookmarkStart w:id="1" w:name="_Toc123112262"/>
      <w:bookmarkStart w:id="2" w:name="_Toc139992300"/>
      <w:bookmarkStart w:id="3" w:name="_Toc139991725"/>
      <w:bookmarkStart w:id="4" w:name="_Toc123701382"/>
      <w:r>
        <w:rPr>
          <w:rFonts w:hint="eastAsia"/>
          <w:b/>
          <w:sz w:val="48"/>
        </w:rPr>
        <w:t>太平丰和一年定期开放债券型发起式</w:t>
      </w:r>
    </w:p>
    <w:p>
      <w:pPr>
        <w:jc w:val="center"/>
        <w:rPr>
          <w:b/>
          <w:sz w:val="48"/>
        </w:rPr>
      </w:pPr>
      <w:r>
        <w:rPr>
          <w:rFonts w:hint="eastAsia"/>
          <w:b/>
          <w:sz w:val="48"/>
        </w:rPr>
        <w:t>证券投资基金</w:t>
      </w:r>
    </w:p>
    <w:p>
      <w:pPr>
        <w:jc w:val="center"/>
        <w:rPr>
          <w:b/>
          <w:sz w:val="48"/>
        </w:rPr>
      </w:pPr>
      <w:r>
        <w:rPr>
          <w:b/>
          <w:sz w:val="48"/>
        </w:rPr>
        <w:t>基金合同</w:t>
      </w:r>
      <w:bookmarkEnd w:id="0"/>
      <w:bookmarkEnd w:id="1"/>
      <w:bookmarkEnd w:id="2"/>
      <w:bookmarkEnd w:id="3"/>
      <w:bookmarkEnd w:id="4"/>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5" w:name="_Toc123112224"/>
      <w:bookmarkStart w:id="6" w:name="_Toc123701383"/>
      <w:bookmarkStart w:id="7" w:name="_Toc139992301"/>
      <w:bookmarkStart w:id="8" w:name="_Toc123112263"/>
      <w:bookmarkStart w:id="9" w:name="_Toc139991726"/>
      <w:r>
        <w:rPr>
          <w:b/>
          <w:sz w:val="36"/>
        </w:rPr>
        <w:t>基金管理人：</w:t>
      </w:r>
      <w:bookmarkEnd w:id="5"/>
      <w:bookmarkEnd w:id="6"/>
      <w:bookmarkEnd w:id="7"/>
      <w:bookmarkEnd w:id="8"/>
      <w:bookmarkEnd w:id="9"/>
      <w:r>
        <w:rPr>
          <w:rFonts w:hint="eastAsia"/>
          <w:b/>
          <w:sz w:val="36"/>
        </w:rPr>
        <w:t>太平基金管理有限公司</w:t>
      </w:r>
    </w:p>
    <w:p>
      <w:pPr>
        <w:jc w:val="center"/>
        <w:rPr>
          <w:b/>
          <w:sz w:val="36"/>
        </w:rPr>
      </w:pPr>
      <w:bookmarkStart w:id="10" w:name="_Toc123701384"/>
      <w:bookmarkStart w:id="11" w:name="_Toc123112264"/>
      <w:bookmarkStart w:id="12" w:name="_Toc139992302"/>
      <w:bookmarkStart w:id="13" w:name="_Toc123112225"/>
      <w:bookmarkStart w:id="14" w:name="_Toc139991727"/>
      <w:r>
        <w:rPr>
          <w:b/>
          <w:sz w:val="36"/>
        </w:rPr>
        <w:t>基金托管人：</w:t>
      </w:r>
      <w:r>
        <w:rPr>
          <w:rFonts w:hint="eastAsia"/>
          <w:b/>
          <w:sz w:val="36"/>
        </w:rPr>
        <w:t>中国邮政储蓄银行股份有限公司</w:t>
      </w:r>
      <w:bookmarkEnd w:id="10"/>
      <w:bookmarkEnd w:id="11"/>
      <w:bookmarkEnd w:id="12"/>
      <w:bookmarkEnd w:id="13"/>
      <w:bookmarkEnd w:id="14"/>
    </w:p>
    <w:p>
      <w:pPr>
        <w:jc w:val="center"/>
        <w:rPr>
          <w:bCs/>
          <w:sz w:val="32"/>
        </w:rPr>
      </w:pPr>
    </w:p>
    <w:p>
      <w:pPr>
        <w:jc w:val="center"/>
        <w:rPr>
          <w:bCs/>
          <w:sz w:val="28"/>
        </w:rPr>
      </w:pPr>
      <w:bookmarkStart w:id="15" w:name="_Toc139991729"/>
      <w:bookmarkStart w:id="16" w:name="_Toc123701386"/>
      <w:bookmarkStart w:id="17" w:name="_Toc123112266"/>
      <w:bookmarkStart w:id="18" w:name="_Toc123112227"/>
    </w:p>
    <w:p>
      <w:pPr>
        <w:jc w:val="center"/>
        <w:rPr>
          <w:bCs/>
          <w:sz w:val="28"/>
        </w:rPr>
      </w:pPr>
    </w:p>
    <w:p>
      <w:pPr>
        <w:jc w:val="center"/>
        <w:rPr>
          <w:bCs/>
          <w:sz w:val="28"/>
        </w:rPr>
        <w:sectPr>
          <w:headerReference r:id="rId3" w:type="default"/>
          <w:pgSz w:w="11906" w:h="16838"/>
          <w:pgMar w:top="1440" w:right="1800" w:bottom="1440" w:left="1800" w:header="851" w:footer="992" w:gutter="0"/>
          <w:pgNumType w:start="1"/>
          <w:cols w:space="720" w:num="1"/>
          <w:titlePg/>
          <w:docGrid w:type="lines" w:linePitch="312" w:charSpace="0"/>
        </w:sectPr>
      </w:pPr>
    </w:p>
    <w:p>
      <w:pPr>
        <w:jc w:val="center"/>
        <w:rPr>
          <w:bCs/>
          <w:sz w:val="28"/>
        </w:rPr>
      </w:pPr>
      <w:r>
        <w:rPr>
          <w:bCs/>
          <w:sz w:val="28"/>
        </w:rPr>
        <w:t>目    录</w:t>
      </w:r>
      <w:bookmarkEnd w:id="15"/>
      <w:bookmarkEnd w:id="16"/>
      <w:bookmarkEnd w:id="17"/>
      <w:bookmarkEnd w:id="18"/>
    </w:p>
    <w:p>
      <w:pPr>
        <w:pStyle w:val="14"/>
        <w:rPr>
          <w:rFonts w:asciiTheme="minorHAnsi" w:hAnsiTheme="minorHAnsi" w:eastAsiaTheme="minorEastAsia" w:cstheme="minorBidi"/>
          <w:szCs w:val="22"/>
        </w:rPr>
      </w:pPr>
      <w:r>
        <w:rPr>
          <w:bCs/>
          <w:sz w:val="24"/>
          <w:szCs w:val="24"/>
        </w:rPr>
        <w:fldChar w:fldCharType="begin"/>
      </w:r>
      <w:r>
        <w:rPr>
          <w:bCs/>
          <w:sz w:val="24"/>
          <w:szCs w:val="24"/>
        </w:rPr>
        <w:instrText xml:space="preserve"> TOC \o "1-1" \h \z \u </w:instrText>
      </w:r>
      <w:r>
        <w:rPr>
          <w:bCs/>
          <w:sz w:val="24"/>
          <w:szCs w:val="24"/>
        </w:rPr>
        <w:fldChar w:fldCharType="separate"/>
      </w:r>
      <w:r>
        <w:fldChar w:fldCharType="begin"/>
      </w:r>
      <w:r>
        <w:instrText xml:space="preserve"> HYPERLINK \l "_Toc519229397" </w:instrText>
      </w:r>
      <w:r>
        <w:fldChar w:fldCharType="separate"/>
      </w:r>
      <w:r>
        <w:rPr>
          <w:rStyle w:val="23"/>
        </w:rPr>
        <w:t>第一部分  前言</w:t>
      </w:r>
      <w:r>
        <w:tab/>
      </w:r>
      <w:r>
        <w:fldChar w:fldCharType="begin"/>
      </w:r>
      <w:r>
        <w:instrText xml:space="preserve"> PAGEREF _Toc519229397 \h </w:instrText>
      </w:r>
      <w:r>
        <w:fldChar w:fldCharType="separate"/>
      </w:r>
      <w:r>
        <w:t>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"_Toc519229398" </w:instrText>
      </w:r>
      <w:r>
        <w:fldChar w:fldCharType="separate"/>
      </w:r>
      <w:r>
        <w:rPr>
          <w:rStyle w:val="23"/>
        </w:rPr>
        <w:t>第二部分  释义</w:t>
      </w:r>
      <w:r>
        <w:tab/>
      </w:r>
      <w:r>
        <w:fldChar w:fldCharType="begin"/>
      </w:r>
      <w:r>
        <w:instrText xml:space="preserve"> PAGEREF _Toc519229398 \h </w:instrText>
      </w:r>
      <w:r>
        <w:fldChar w:fldCharType="separate"/>
      </w:r>
      <w:r>
        <w:t>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"_Toc519229399" </w:instrText>
      </w:r>
      <w:r>
        <w:fldChar w:fldCharType="separate"/>
      </w:r>
      <w:r>
        <w:rPr>
          <w:rStyle w:val="23"/>
        </w:rPr>
        <w:t>第三部分  基金的基本情况</w:t>
      </w:r>
      <w:r>
        <w:tab/>
      </w:r>
      <w:r>
        <w:fldChar w:fldCharType="begin"/>
      </w:r>
      <w:r>
        <w:instrText xml:space="preserve"> PAGEREF _Toc519229399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"_Toc519229400" </w:instrText>
      </w:r>
      <w:r>
        <w:fldChar w:fldCharType="separate"/>
      </w:r>
      <w:r>
        <w:rPr>
          <w:rStyle w:val="23"/>
          <w:bCs/>
          <w:kern w:val="44"/>
        </w:rPr>
        <w:t>第四部分  基金份额的发售</w:t>
      </w:r>
      <w:r>
        <w:tab/>
      </w:r>
      <w:r>
        <w:fldChar w:fldCharType="begin"/>
      </w:r>
      <w:r>
        <w:instrText xml:space="preserve"> PAGEREF _Toc519229400 \h </w:instrText>
      </w:r>
      <w:r>
        <w:fldChar w:fldCharType="separate"/>
      </w:r>
      <w:r>
        <w:t>11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"_Toc519229401" </w:instrText>
      </w:r>
      <w:r>
        <w:fldChar w:fldCharType="separate"/>
      </w:r>
      <w:r>
        <w:rPr>
          <w:rStyle w:val="23"/>
        </w:rPr>
        <w:t>第五部分  基金备案</w:t>
      </w:r>
      <w:r>
        <w:tab/>
      </w:r>
      <w:r>
        <w:fldChar w:fldCharType="begin"/>
      </w:r>
      <w:r>
        <w:instrText xml:space="preserve"> PAGEREF _Toc519229401 \h </w:instrText>
      </w:r>
      <w:r>
        <w:fldChar w:fldCharType="separate"/>
      </w:r>
      <w:r>
        <w:t>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"_Toc519229402" </w:instrText>
      </w:r>
      <w:r>
        <w:fldChar w:fldCharType="separate"/>
      </w:r>
      <w:r>
        <w:rPr>
          <w:rStyle w:val="23"/>
        </w:rPr>
        <w:t>第六部分  基金份额的申购与赎回</w:t>
      </w:r>
      <w:r>
        <w:tab/>
      </w:r>
      <w:r>
        <w:fldChar w:fldCharType="begin"/>
      </w:r>
      <w:r>
        <w:instrText xml:space="preserve"> PAGEREF _Toc519229402 \h </w:instrText>
      </w:r>
      <w:r>
        <w:fldChar w:fldCharType="separate"/>
      </w:r>
      <w:r>
        <w:t>15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"_Toc519229403" </w:instrText>
      </w:r>
      <w:r>
        <w:fldChar w:fldCharType="separate"/>
      </w:r>
      <w:r>
        <w:rPr>
          <w:rStyle w:val="23"/>
        </w:rPr>
        <w:t>第七部分  基金合同当事人及权利义务</w:t>
      </w:r>
      <w:r>
        <w:tab/>
      </w:r>
      <w:r>
        <w:fldChar w:fldCharType="begin"/>
      </w:r>
      <w:r>
        <w:instrText xml:space="preserve"> PAGEREF _Toc519229403 \h </w:instrText>
      </w:r>
      <w:r>
        <w:fldChar w:fldCharType="separate"/>
      </w:r>
      <w:r>
        <w:t>25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"_Toc519229404" </w:instrText>
      </w:r>
      <w:r>
        <w:fldChar w:fldCharType="separate"/>
      </w:r>
      <w:r>
        <w:rPr>
          <w:rStyle w:val="23"/>
        </w:rPr>
        <w:t>第八部分  基金份额持有人大会</w:t>
      </w:r>
      <w:r>
        <w:tab/>
      </w:r>
      <w:r>
        <w:fldChar w:fldCharType="begin"/>
      </w:r>
      <w:r>
        <w:instrText xml:space="preserve"> PAGEREF _Toc519229404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"_Toc519229405" </w:instrText>
      </w:r>
      <w:r>
        <w:fldChar w:fldCharType="separate"/>
      </w:r>
      <w:r>
        <w:rPr>
          <w:rStyle w:val="23"/>
        </w:rPr>
        <w:t>第九部分  基金管理人、基金托管人的更换条件和程序</w:t>
      </w:r>
      <w:r>
        <w:tab/>
      </w:r>
      <w:r>
        <w:fldChar w:fldCharType="begin"/>
      </w:r>
      <w:r>
        <w:instrText xml:space="preserve"> PAGEREF _Toc519229405 \h </w:instrText>
      </w:r>
      <w:r>
        <w:fldChar w:fldCharType="separate"/>
      </w:r>
      <w:r>
        <w:t>41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"_Toc519229406" </w:instrText>
      </w:r>
      <w:r>
        <w:fldChar w:fldCharType="separate"/>
      </w:r>
      <w:r>
        <w:rPr>
          <w:rStyle w:val="23"/>
        </w:rPr>
        <w:t>第十部分  基金的托管</w:t>
      </w:r>
      <w:r>
        <w:tab/>
      </w:r>
      <w:r>
        <w:fldChar w:fldCharType="begin"/>
      </w:r>
      <w:r>
        <w:instrText xml:space="preserve"> PAGEREF _Toc519229406 \h </w:instrText>
      </w:r>
      <w:r>
        <w:fldChar w:fldCharType="separate"/>
      </w:r>
      <w:r>
        <w:t>44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"_Toc519229407" </w:instrText>
      </w:r>
      <w:r>
        <w:fldChar w:fldCharType="separate"/>
      </w:r>
      <w:r>
        <w:rPr>
          <w:rStyle w:val="23"/>
        </w:rPr>
        <w:t>第十一部分  基金份额的登记</w:t>
      </w:r>
      <w:r>
        <w:tab/>
      </w:r>
      <w:r>
        <w:fldChar w:fldCharType="begin"/>
      </w:r>
      <w:r>
        <w:instrText xml:space="preserve"> PAGEREF _Toc519229407 \h </w:instrText>
      </w:r>
      <w:r>
        <w:fldChar w:fldCharType="separate"/>
      </w:r>
      <w:r>
        <w:t>45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"_Toc519229408" </w:instrText>
      </w:r>
      <w:r>
        <w:fldChar w:fldCharType="separate"/>
      </w:r>
      <w:r>
        <w:rPr>
          <w:rStyle w:val="23"/>
        </w:rPr>
        <w:t>第十二部分  基金的投资</w:t>
      </w:r>
      <w:r>
        <w:tab/>
      </w:r>
      <w:r>
        <w:fldChar w:fldCharType="begin"/>
      </w:r>
      <w:r>
        <w:instrText xml:space="preserve"> PAGEREF _Toc519229408 \h </w:instrText>
      </w:r>
      <w:r>
        <w:fldChar w:fldCharType="separate"/>
      </w:r>
      <w:r>
        <w:t>47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"_Toc519229409" </w:instrText>
      </w:r>
      <w:r>
        <w:fldChar w:fldCharType="separate"/>
      </w:r>
      <w:r>
        <w:rPr>
          <w:rStyle w:val="23"/>
        </w:rPr>
        <w:t>第十三部分  基金的财产</w:t>
      </w:r>
      <w:r>
        <w:tab/>
      </w:r>
      <w:r>
        <w:fldChar w:fldCharType="begin"/>
      </w:r>
      <w:r>
        <w:instrText xml:space="preserve"> PAGEREF _Toc519229409 \h </w:instrText>
      </w:r>
      <w:r>
        <w:fldChar w:fldCharType="separate"/>
      </w:r>
      <w:r>
        <w:t>55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"_Toc519229410" </w:instrText>
      </w:r>
      <w:r>
        <w:fldChar w:fldCharType="separate"/>
      </w:r>
      <w:r>
        <w:rPr>
          <w:rStyle w:val="23"/>
        </w:rPr>
        <w:t>第十四部分  基金资产估值</w:t>
      </w:r>
      <w:r>
        <w:tab/>
      </w:r>
      <w:r>
        <w:fldChar w:fldCharType="begin"/>
      </w:r>
      <w:r>
        <w:instrText xml:space="preserve"> PAGEREF _Toc519229410 \h </w:instrText>
      </w:r>
      <w:r>
        <w:fldChar w:fldCharType="separate"/>
      </w:r>
      <w:r>
        <w:t>56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"_Toc519229411" </w:instrText>
      </w:r>
      <w:r>
        <w:fldChar w:fldCharType="separate"/>
      </w:r>
      <w:r>
        <w:rPr>
          <w:rStyle w:val="23"/>
        </w:rPr>
        <w:t>第十五部分  基金费用与税收</w:t>
      </w:r>
      <w:r>
        <w:tab/>
      </w:r>
      <w:r>
        <w:fldChar w:fldCharType="begin"/>
      </w:r>
      <w:r>
        <w:instrText xml:space="preserve"> PAGEREF _Toc519229411 \h </w:instrText>
      </w:r>
      <w:r>
        <w:fldChar w:fldCharType="separate"/>
      </w:r>
      <w:r>
        <w:t>62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"_Toc519229412" </w:instrText>
      </w:r>
      <w:r>
        <w:fldChar w:fldCharType="separate"/>
      </w:r>
      <w:r>
        <w:rPr>
          <w:rStyle w:val="23"/>
        </w:rPr>
        <w:t>第十六部分  基金的收益与分配</w:t>
      </w:r>
      <w:r>
        <w:tab/>
      </w:r>
      <w:r>
        <w:fldChar w:fldCharType="begin"/>
      </w:r>
      <w:r>
        <w:instrText xml:space="preserve"> PAGEREF _Toc519229412 \h </w:instrText>
      </w:r>
      <w:r>
        <w:fldChar w:fldCharType="separate"/>
      </w:r>
      <w:r>
        <w:t>64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"_Toc519229413" </w:instrText>
      </w:r>
      <w:r>
        <w:fldChar w:fldCharType="separate"/>
      </w:r>
      <w:r>
        <w:rPr>
          <w:rStyle w:val="23"/>
        </w:rPr>
        <w:t>第十七部分  基金的会计与审计</w:t>
      </w:r>
      <w:r>
        <w:tab/>
      </w:r>
      <w:r>
        <w:fldChar w:fldCharType="begin"/>
      </w:r>
      <w:r>
        <w:instrText xml:space="preserve"> PAGEREF _Toc519229413 \h </w:instrText>
      </w:r>
      <w:r>
        <w:fldChar w:fldCharType="separate"/>
      </w:r>
      <w:r>
        <w:t>66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"_Toc519229414" </w:instrText>
      </w:r>
      <w:r>
        <w:fldChar w:fldCharType="separate"/>
      </w:r>
      <w:r>
        <w:rPr>
          <w:rStyle w:val="23"/>
        </w:rPr>
        <w:t>第十八部分  基金的信息披露</w:t>
      </w:r>
      <w:r>
        <w:tab/>
      </w:r>
      <w:r>
        <w:fldChar w:fldCharType="begin"/>
      </w:r>
      <w:r>
        <w:instrText xml:space="preserve"> PAGEREF _Toc519229414 \h </w:instrText>
      </w:r>
      <w:r>
        <w:fldChar w:fldCharType="separate"/>
      </w:r>
      <w:r>
        <w:t>67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"_Toc519229415" </w:instrText>
      </w:r>
      <w:r>
        <w:fldChar w:fldCharType="separate"/>
      </w:r>
      <w:r>
        <w:rPr>
          <w:rStyle w:val="23"/>
        </w:rPr>
        <w:t>第十九部分  基金合同的变更、终止与基金财产的清算</w:t>
      </w:r>
      <w:r>
        <w:tab/>
      </w:r>
      <w:r>
        <w:fldChar w:fldCharType="begin"/>
      </w:r>
      <w:r>
        <w:instrText xml:space="preserve"> PAGEREF _Toc519229415 \h </w:instrText>
      </w:r>
      <w:r>
        <w:fldChar w:fldCharType="separate"/>
      </w:r>
      <w:r>
        <w:t>75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"_Toc519229416" </w:instrText>
      </w:r>
      <w:r>
        <w:fldChar w:fldCharType="separate"/>
      </w:r>
      <w:r>
        <w:rPr>
          <w:rStyle w:val="23"/>
        </w:rPr>
        <w:t>第二十部分  违约责任</w:t>
      </w:r>
      <w:r>
        <w:tab/>
      </w:r>
      <w:r>
        <w:fldChar w:fldCharType="begin"/>
      </w:r>
      <w:r>
        <w:instrText xml:space="preserve"> PAGEREF _Toc519229416 \h </w:instrText>
      </w:r>
      <w:r>
        <w:fldChar w:fldCharType="separate"/>
      </w:r>
      <w:r>
        <w:t>77</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"_Toc519229417" </w:instrText>
      </w:r>
      <w:r>
        <w:fldChar w:fldCharType="separate"/>
      </w:r>
      <w:r>
        <w:rPr>
          <w:rStyle w:val="23"/>
        </w:rPr>
        <w:t>第二十一部分  争议的处理和适用的法律</w:t>
      </w:r>
      <w:r>
        <w:tab/>
      </w:r>
      <w:r>
        <w:fldChar w:fldCharType="begin"/>
      </w:r>
      <w:r>
        <w:instrText xml:space="preserve"> PAGEREF _Toc519229417 \h </w:instrText>
      </w:r>
      <w:r>
        <w:fldChar w:fldCharType="separate"/>
      </w:r>
      <w:r>
        <w:t>78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"_Toc519229418" </w:instrText>
      </w:r>
      <w:r>
        <w:fldChar w:fldCharType="separate"/>
      </w:r>
      <w:r>
        <w:rPr>
          <w:rStyle w:val="23"/>
        </w:rPr>
        <w:t>第二十二部分  基金合同的效力</w:t>
      </w:r>
      <w:r>
        <w:tab/>
      </w:r>
      <w:r>
        <w:fldChar w:fldCharType="begin"/>
      </w:r>
      <w:r>
        <w:instrText xml:space="preserve"> PAGEREF _Toc519229418 \h </w:instrText>
      </w:r>
      <w:r>
        <w:fldChar w:fldCharType="separate"/>
      </w:r>
      <w:r>
        <w:t>79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"_Toc519229419" </w:instrText>
      </w:r>
      <w:r>
        <w:fldChar w:fldCharType="separate"/>
      </w:r>
      <w:r>
        <w:rPr>
          <w:rStyle w:val="23"/>
        </w:rPr>
        <w:t>第二十三部分  其他事项</w:t>
      </w:r>
      <w:r>
        <w:tab/>
      </w:r>
      <w:r>
        <w:fldChar w:fldCharType="begin"/>
      </w:r>
      <w:r>
        <w:instrText xml:space="preserve"> PAGEREF _Toc519229419 \h </w:instrText>
      </w:r>
      <w:r>
        <w:fldChar w:fldCharType="separate"/>
      </w:r>
      <w:r>
        <w:t>80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"_Toc519229420" </w:instrText>
      </w:r>
      <w:r>
        <w:fldChar w:fldCharType="separate"/>
      </w:r>
      <w:r>
        <w:rPr>
          <w:rStyle w:val="23"/>
        </w:rPr>
        <w:t>第二十四部分  基金合同内容摘要</w:t>
      </w:r>
      <w:r>
        <w:tab/>
      </w:r>
      <w:r>
        <w:fldChar w:fldCharType="begin"/>
      </w:r>
      <w:r>
        <w:instrText xml:space="preserve"> PAGEREF _Toc519229420 \h </w:instrText>
      </w:r>
      <w:r>
        <w:fldChar w:fldCharType="separate"/>
      </w:r>
      <w:r>
        <w:t>81</w:t>
      </w:r>
      <w:r>
        <w:fldChar w:fldCharType="end"/>
      </w:r>
      <w:r>
        <w:fldChar w:fldCharType="end"/>
      </w:r>
    </w:p>
    <w:p>
      <w:pPr>
        <w:pStyle w:val="14"/>
        <w:rPr>
          <w:rStyle w:val="23"/>
        </w:rPr>
      </w:pPr>
    </w:p>
    <w:p>
      <w:pPr>
        <w:sectPr>
          <w:headerReference r:id="rId4" w:type="default"/>
          <w:pgSz w:w="11906" w:h="16838"/>
          <w:pgMar w:top="1440" w:right="1800" w:bottom="1440" w:left="1800" w:header="851" w:footer="992" w:gutter="0"/>
          <w:pgNumType w:start="1"/>
          <w:cols w:space="720" w:num="1"/>
          <w:docGrid w:type="lines" w:linePitch="312" w:charSpace="0"/>
        </w:sectPr>
      </w:pPr>
      <w:r>
        <w:fldChar w:fldCharType="end"/>
      </w:r>
      <w:bookmarkStart w:id="19" w:name="_Toc4867"/>
      <w:bookmarkStart w:id="20" w:name="_Toc8727"/>
      <w:bookmarkStart w:id="21" w:name="_Toc30935"/>
      <w:bookmarkStart w:id="22" w:name="_Toc29629"/>
      <w:bookmarkStart w:id="23" w:name="_Toc15517"/>
      <w:bookmarkStart w:id="24" w:name="_Toc23386"/>
      <w:bookmarkStart w:id="25" w:name="_Toc32639"/>
      <w:bookmarkStart w:id="26" w:name="_Toc6306"/>
      <w:bookmarkStart w:id="27" w:name="_Toc139991730"/>
      <w:bookmarkStart w:id="28" w:name="_Toc141703880"/>
      <w:bookmarkStart w:id="29" w:name="_Toc4966"/>
      <w:bookmarkStart w:id="30" w:name="_Toc26897"/>
      <w:bookmarkStart w:id="31" w:name="_Toc123112229"/>
      <w:bookmarkStart w:id="32" w:name="_Toc123701389"/>
      <w:bookmarkStart w:id="33" w:name="_Toc123112268"/>
      <w:bookmarkStart w:id="34" w:name="_Toc233456271"/>
    </w:p>
    <w:p>
      <w:pPr>
        <w:pStyle w:val="2"/>
        <w:spacing w:before="0" w:after="0"/>
        <w:jc w:val="center"/>
        <w:rPr>
          <w:rFonts w:ascii="Times New Roman"/>
          <w:color w:val="auto"/>
          <w:sz w:val="30"/>
        </w:rPr>
      </w:pPr>
      <w:bookmarkStart w:id="35" w:name="_Toc11660"/>
      <w:bookmarkStart w:id="36" w:name="_Toc519229397"/>
      <w:r>
        <w:rPr>
          <w:rFonts w:ascii="Times New Roman"/>
          <w:color w:val="auto"/>
          <w:sz w:val="30"/>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bCs/>
        </w:rPr>
      </w:pPr>
      <w:bookmarkStart w:id="37" w:name="_Toc139991731"/>
    </w:p>
    <w:bookmarkEnd w:id="31"/>
    <w:bookmarkEnd w:id="32"/>
    <w:bookmarkEnd w:id="33"/>
    <w:bookmarkEnd w:id="37"/>
    <w:p>
      <w:pPr>
        <w:spacing w:line="360" w:lineRule="auto"/>
        <w:ind w:firstLine="480" w:firstLineChars="200"/>
        <w:rPr>
          <w:bCs/>
          <w:sz w:val="24"/>
        </w:rPr>
      </w:pPr>
      <w:bookmarkStart w:id="38"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w:t>
      </w:r>
      <w:r>
        <w:rPr>
          <w:rFonts w:hint="eastAsia"/>
          <w:bCs/>
          <w:sz w:val="24"/>
        </w:rPr>
        <w:t>（</w:t>
      </w:r>
      <w:r>
        <w:rPr>
          <w:bCs/>
          <w:sz w:val="24"/>
        </w:rPr>
        <w:t>以下简称</w:t>
      </w:r>
      <w:r>
        <w:rPr>
          <w:rFonts w:hint="eastAsia"/>
          <w:bCs/>
          <w:sz w:val="24"/>
        </w:rPr>
        <w:t>“</w:t>
      </w:r>
      <w:r>
        <w:rPr>
          <w:bCs/>
          <w:sz w:val="24"/>
        </w:rPr>
        <w:t>《合同法》</w:t>
      </w:r>
      <w:r>
        <w:rPr>
          <w:rFonts w:hint="eastAsia"/>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ascii="宋体"/>
          <w:sz w:val="24"/>
        </w:rPr>
        <w:t>《公开募集证券投资基金运作管理办法》</w:t>
      </w:r>
      <w:r>
        <w:rPr>
          <w:rFonts w:hint="eastAsia"/>
          <w:bCs/>
          <w:sz w:val="24"/>
        </w:rPr>
        <w:t>（</w:t>
      </w:r>
      <w:r>
        <w:rPr>
          <w:bCs/>
          <w:sz w:val="24"/>
        </w:rPr>
        <w:t>以下简称</w:t>
      </w:r>
      <w:r>
        <w:rPr>
          <w:rFonts w:hint="eastAsia"/>
          <w:bCs/>
          <w:sz w:val="24"/>
        </w:rPr>
        <w:t>“</w:t>
      </w:r>
      <w:r>
        <w:rPr>
          <w:bCs/>
          <w:sz w:val="24"/>
        </w:rPr>
        <w:t>《运作办法》</w:t>
      </w:r>
      <w:r>
        <w:rPr>
          <w:rFonts w:hint="eastAsia"/>
          <w:bCs/>
          <w:sz w:val="24"/>
        </w:rPr>
        <w:t>”）</w:t>
      </w:r>
      <w:r>
        <w:rPr>
          <w:bCs/>
          <w:sz w:val="24"/>
        </w:rPr>
        <w:t>、《证券投资基金销售管理办法》</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三、太平丰和一年定期开放债券型发起式证券投资基金</w:t>
      </w:r>
      <w:r>
        <w:rPr>
          <w:bCs/>
          <w:sz w:val="24"/>
        </w:rPr>
        <w:t>由基金管理人依照《基金法》、基金合同及其他有关规定募集，并经中国</w:t>
      </w:r>
      <w:r>
        <w:rPr>
          <w:rFonts w:hint="eastAsia"/>
          <w:bCs/>
          <w:sz w:val="24"/>
        </w:rPr>
        <w:t>证券监督管理委员会(以下简称“中国证监会”)注册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pPr>
        <w:numPr>
          <w:ilvl w:val="0"/>
          <w:numId w:val="1"/>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1"/>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1"/>
        </w:numPr>
        <w:spacing w:line="360" w:lineRule="auto"/>
        <w:ind w:firstLine="480" w:firstLineChars="200"/>
        <w:rPr>
          <w:bCs/>
          <w:sz w:val="24"/>
        </w:rPr>
      </w:pPr>
      <w:r>
        <w:rPr>
          <w:rFonts w:hint="eastAsia"/>
          <w:bCs/>
          <w:sz w:val="24"/>
        </w:rPr>
        <w:t>本基金不向个人投资者销售。本基金的客户中包含特定机构投资者，其持有基金份额的比例可能高于50%，存在因机构投资者大额赎回而导致的基金份额净值波动、引发基金合同终止等风险。</w:t>
      </w:r>
    </w:p>
    <w:p>
      <w:pPr>
        <w:numPr>
          <w:ilvl w:val="0"/>
          <w:numId w:val="1"/>
        </w:numPr>
        <w:spacing w:line="360" w:lineRule="auto"/>
        <w:ind w:firstLine="480" w:firstLineChars="200"/>
        <w:rPr>
          <w:bCs/>
          <w:sz w:val="24"/>
        </w:rPr>
      </w:pPr>
      <w:r>
        <w:rPr>
          <w:rFonts w:hint="eastAsia"/>
          <w:bCs/>
          <w:sz w:val="24"/>
        </w:rPr>
        <w:t>本基金合同关于基金产品资料概要的编制、披露及更新等内容，将不晚于2020年9月1日起执行。</w:t>
      </w:r>
    </w:p>
    <w:p>
      <w:pPr>
        <w:spacing w:line="360" w:lineRule="auto"/>
        <w:ind w:left="48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9" w:name="_Toc31551"/>
      <w:bookmarkStart w:id="40" w:name="_Toc3224"/>
      <w:bookmarkStart w:id="41" w:name="_Toc21301"/>
      <w:bookmarkStart w:id="42" w:name="_Toc15067"/>
      <w:bookmarkStart w:id="43" w:name="_Toc6617"/>
      <w:bookmarkStart w:id="44" w:name="_Toc24860"/>
      <w:bookmarkStart w:id="45" w:name="_Toc819"/>
      <w:bookmarkStart w:id="46" w:name="_Toc22864"/>
      <w:bookmarkStart w:id="47" w:name="_Toc19592"/>
      <w:bookmarkStart w:id="48" w:name="_Toc2465"/>
      <w:bookmarkStart w:id="49" w:name="_Toc519229398"/>
      <w:bookmarkStart w:id="50" w:name="_Toc13020"/>
      <w:r>
        <w:rPr>
          <w:rFonts w:ascii="Times New Roman"/>
          <w:color w:val="auto"/>
          <w:sz w:val="30"/>
        </w:rPr>
        <w:t xml:space="preserve">第二部分 </w:t>
      </w:r>
      <w:r>
        <w:rPr>
          <w:rFonts w:hint="eastAsia" w:ascii="Times New Roman"/>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pStyle w:val="46"/>
        <w:numPr>
          <w:ilvl w:val="0"/>
          <w:numId w:val="2"/>
        </w:numPr>
        <w:spacing w:line="360" w:lineRule="auto"/>
        <w:ind w:firstLineChars="0"/>
        <w:rPr>
          <w:bCs/>
          <w:sz w:val="24"/>
        </w:rPr>
      </w:pPr>
      <w:r>
        <w:rPr>
          <w:bCs/>
          <w:sz w:val="24"/>
        </w:rPr>
        <w:t>基金或本基金：指</w:t>
      </w:r>
      <w:r>
        <w:rPr>
          <w:rFonts w:hint="eastAsia"/>
          <w:bCs/>
          <w:sz w:val="24"/>
        </w:rPr>
        <w:t>太平丰和一年定期开放债券型发起式证券投资基金</w:t>
      </w:r>
    </w:p>
    <w:p>
      <w:pPr>
        <w:pStyle w:val="46"/>
        <w:numPr>
          <w:ilvl w:val="0"/>
          <w:numId w:val="2"/>
        </w:numPr>
        <w:spacing w:line="360" w:lineRule="auto"/>
        <w:ind w:firstLineChars="0"/>
        <w:rPr>
          <w:bCs/>
          <w:sz w:val="24"/>
        </w:rPr>
      </w:pPr>
      <w:r>
        <w:rPr>
          <w:bCs/>
          <w:sz w:val="24"/>
        </w:rPr>
        <w:t>基金管理人：指</w:t>
      </w:r>
      <w:r>
        <w:rPr>
          <w:rFonts w:hint="eastAsia"/>
          <w:bCs/>
          <w:sz w:val="24"/>
        </w:rPr>
        <w:t>太平基金管理有限公司</w:t>
      </w:r>
      <w:r>
        <w:rPr>
          <w:bCs/>
          <w:sz w:val="24"/>
        </w:rPr>
        <w:t xml:space="preserve">  </w:t>
      </w:r>
    </w:p>
    <w:p>
      <w:pPr>
        <w:pStyle w:val="46"/>
        <w:numPr>
          <w:ilvl w:val="0"/>
          <w:numId w:val="2"/>
        </w:numPr>
        <w:spacing w:line="360" w:lineRule="auto"/>
        <w:ind w:firstLineChars="0"/>
        <w:rPr>
          <w:bCs/>
          <w:sz w:val="24"/>
        </w:rPr>
      </w:pPr>
      <w:r>
        <w:rPr>
          <w:bCs/>
          <w:sz w:val="24"/>
        </w:rPr>
        <w:t>基金托管人：指</w:t>
      </w:r>
      <w:r>
        <w:rPr>
          <w:rFonts w:hint="eastAsia"/>
          <w:bCs/>
          <w:sz w:val="24"/>
        </w:rPr>
        <w:t>中国邮政储蓄银行股份有限公司</w:t>
      </w:r>
      <w:r>
        <w:rPr>
          <w:bCs/>
          <w:sz w:val="24"/>
        </w:rPr>
        <w:t xml:space="preserve">  </w:t>
      </w:r>
    </w:p>
    <w:p>
      <w:pPr>
        <w:pStyle w:val="46"/>
        <w:numPr>
          <w:ilvl w:val="0"/>
          <w:numId w:val="2"/>
        </w:numPr>
        <w:spacing w:line="360" w:lineRule="auto"/>
        <w:ind w:firstLineChars="0"/>
        <w:rPr>
          <w:bCs/>
          <w:sz w:val="24"/>
        </w:rPr>
      </w:pPr>
      <w:r>
        <w:rPr>
          <w:bCs/>
          <w:sz w:val="24"/>
        </w:rPr>
        <w:t>基金合同或本基金合同：指《</w:t>
      </w:r>
      <w:r>
        <w:rPr>
          <w:rFonts w:hint="eastAsia"/>
          <w:bCs/>
          <w:sz w:val="24"/>
        </w:rPr>
        <w:t>太平丰和一年定期开放债券型发起式证券投资基金</w:t>
      </w:r>
      <w:r>
        <w:rPr>
          <w:bCs/>
          <w:sz w:val="24"/>
        </w:rPr>
        <w:t>基金合同》及对本基金合同的任何有效修订和补充</w:t>
      </w:r>
    </w:p>
    <w:p>
      <w:pPr>
        <w:pStyle w:val="46"/>
        <w:numPr>
          <w:ilvl w:val="0"/>
          <w:numId w:val="2"/>
        </w:numPr>
        <w:spacing w:line="360" w:lineRule="auto"/>
        <w:ind w:firstLineChars="0"/>
        <w:rPr>
          <w:bCs/>
          <w:sz w:val="24"/>
        </w:rPr>
      </w:pPr>
      <w:r>
        <w:rPr>
          <w:bCs/>
          <w:sz w:val="24"/>
        </w:rPr>
        <w:t>托管协议：指基金管理人与基金托管人就本基金签订之《</w:t>
      </w:r>
      <w:r>
        <w:rPr>
          <w:rFonts w:hint="eastAsia"/>
          <w:bCs/>
          <w:sz w:val="24"/>
        </w:rPr>
        <w:t>太平丰和一年定期开放债券型发起式证券投资基金</w:t>
      </w:r>
      <w:r>
        <w:rPr>
          <w:bCs/>
          <w:sz w:val="24"/>
        </w:rPr>
        <w:t>托管协议》及对该托管协议的任何有效修订和补充</w:t>
      </w:r>
    </w:p>
    <w:p>
      <w:pPr>
        <w:pStyle w:val="46"/>
        <w:numPr>
          <w:ilvl w:val="0"/>
          <w:numId w:val="2"/>
        </w:numPr>
        <w:spacing w:line="360" w:lineRule="auto"/>
        <w:ind w:firstLineChars="0"/>
        <w:rPr>
          <w:bCs/>
          <w:sz w:val="24"/>
        </w:rPr>
      </w:pPr>
      <w:r>
        <w:rPr>
          <w:bCs/>
          <w:sz w:val="24"/>
        </w:rPr>
        <w:t>招募说明书：指《</w:t>
      </w:r>
      <w:r>
        <w:rPr>
          <w:rFonts w:hint="eastAsia"/>
          <w:bCs/>
          <w:sz w:val="24"/>
        </w:rPr>
        <w:t>太平丰和一年定期开放债券型发起式证券投资基金</w:t>
      </w:r>
      <w:r>
        <w:rPr>
          <w:bCs/>
          <w:sz w:val="24"/>
        </w:rPr>
        <w:t>招募说明书》及其更新</w:t>
      </w:r>
    </w:p>
    <w:p>
      <w:pPr>
        <w:pStyle w:val="46"/>
        <w:numPr>
          <w:ilvl w:val="0"/>
          <w:numId w:val="2"/>
        </w:numPr>
        <w:spacing w:line="360" w:lineRule="auto"/>
        <w:ind w:firstLineChars="0"/>
        <w:rPr>
          <w:bCs/>
          <w:sz w:val="24"/>
        </w:rPr>
      </w:pPr>
      <w:r>
        <w:rPr>
          <w:rFonts w:hint="eastAsia"/>
          <w:bCs/>
          <w:sz w:val="24"/>
        </w:rPr>
        <w:t>基金产品资料概要：指《太平丰和一年定期开放债券型发起式证券投资基金基金产品资料概要》及其更新</w:t>
      </w:r>
    </w:p>
    <w:p>
      <w:pPr>
        <w:pStyle w:val="46"/>
        <w:numPr>
          <w:ilvl w:val="0"/>
          <w:numId w:val="2"/>
        </w:numPr>
        <w:spacing w:line="360" w:lineRule="auto"/>
        <w:ind w:firstLineChars="0"/>
        <w:rPr>
          <w:bCs/>
          <w:sz w:val="24"/>
        </w:rPr>
      </w:pPr>
      <w:r>
        <w:rPr>
          <w:bCs/>
          <w:sz w:val="24"/>
        </w:rPr>
        <w:t>基金份额发售公告：指《</w:t>
      </w:r>
      <w:r>
        <w:rPr>
          <w:rFonts w:hint="eastAsia"/>
          <w:bCs/>
          <w:sz w:val="24"/>
        </w:rPr>
        <w:t>太平丰和一年定期开放债券型发起式证券投资基金</w:t>
      </w:r>
      <w:r>
        <w:rPr>
          <w:bCs/>
          <w:sz w:val="24"/>
        </w:rPr>
        <w:t>基金份额发售公告》</w:t>
      </w:r>
    </w:p>
    <w:p>
      <w:pPr>
        <w:pStyle w:val="46"/>
        <w:numPr>
          <w:ilvl w:val="0"/>
          <w:numId w:val="2"/>
        </w:numPr>
        <w:spacing w:line="360" w:lineRule="auto"/>
        <w:ind w:firstLineChars="0"/>
        <w:rPr>
          <w:bCs/>
          <w:sz w:val="24"/>
        </w:rPr>
      </w:pPr>
      <w:r>
        <w:rPr>
          <w:bCs/>
          <w:sz w:val="24"/>
        </w:rPr>
        <w:t>法律法规：指中国现行有效并公布实施的法律、行政法规、规范性文件、司法解释、行政规章以及其他对基金合同当事人有约束力的决定、决议、通知等</w:t>
      </w:r>
    </w:p>
    <w:p>
      <w:pPr>
        <w:pStyle w:val="46"/>
        <w:numPr>
          <w:ilvl w:val="0"/>
          <w:numId w:val="2"/>
        </w:numPr>
        <w:spacing w:line="360" w:lineRule="auto"/>
        <w:ind w:firstLineChars="0"/>
        <w:rPr>
          <w:bCs/>
          <w:sz w:val="24"/>
        </w:rPr>
      </w:pPr>
      <w:r>
        <w:rPr>
          <w:bCs/>
          <w:sz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sz w:val="24"/>
        </w:rPr>
        <w:t>正</w:t>
      </w:r>
      <w:r>
        <w:rPr>
          <w:bCs/>
          <w:sz w:val="24"/>
        </w:rPr>
        <w:t>的《中华人民共和国证券投资基金法》及颁布机关对其不时做出的修订</w:t>
      </w:r>
    </w:p>
    <w:p>
      <w:pPr>
        <w:pStyle w:val="46"/>
        <w:numPr>
          <w:ilvl w:val="0"/>
          <w:numId w:val="2"/>
        </w:numPr>
        <w:spacing w:line="360" w:lineRule="auto"/>
        <w:ind w:firstLineChars="0"/>
        <w:rPr>
          <w:bCs/>
          <w:sz w:val="24"/>
        </w:rPr>
      </w:pPr>
      <w:r>
        <w:rPr>
          <w:rFonts w:hint="eastAsia"/>
          <w:bCs/>
          <w:sz w:val="24"/>
        </w:rPr>
        <w:t>《</w:t>
      </w:r>
      <w:r>
        <w:rPr>
          <w:bCs/>
          <w:sz w:val="24"/>
        </w:rPr>
        <w:t>证券法</w:t>
      </w:r>
      <w:r>
        <w:rPr>
          <w:rFonts w:hint="eastAsia"/>
          <w:bCs/>
          <w:sz w:val="24"/>
        </w:rPr>
        <w:t>》</w:t>
      </w:r>
      <w:r>
        <w:rPr>
          <w:bCs/>
          <w:sz w:val="24"/>
        </w:rPr>
        <w:t>：</w:t>
      </w:r>
      <w:r>
        <w:rPr>
          <w:rFonts w:hint="eastAsia"/>
          <w:bCs/>
          <w:sz w:val="24"/>
        </w:rPr>
        <w:t>指1998年12月29日第九届全国人民代表大会常务委员会第六次会议通过</w:t>
      </w:r>
      <w:r>
        <w:rPr>
          <w:bCs/>
          <w:sz w:val="24"/>
        </w:rPr>
        <w:t>，</w:t>
      </w:r>
      <w:r>
        <w:rPr>
          <w:rFonts w:hint="eastAsia"/>
          <w:bCs/>
          <w:sz w:val="24"/>
        </w:rPr>
        <w:t>经2005年10月27日第十届全国人民代表大会常务委员会第十八次会议第一次修订</w:t>
      </w:r>
      <w:r>
        <w:rPr>
          <w:bCs/>
          <w:sz w:val="24"/>
        </w:rPr>
        <w:t>，</w:t>
      </w:r>
      <w:r>
        <w:rPr>
          <w:rFonts w:hint="eastAsia"/>
          <w:bCs/>
          <w:sz w:val="24"/>
        </w:rPr>
        <w:t>并经2019年12月28日第十三届全国人民代表大会常务委员会第十五次会议第二次修订</w:t>
      </w:r>
      <w:r>
        <w:rPr>
          <w:bCs/>
          <w:sz w:val="24"/>
        </w:rPr>
        <w:t>，</w:t>
      </w:r>
      <w:r>
        <w:rPr>
          <w:rFonts w:hint="eastAsia"/>
          <w:bCs/>
          <w:sz w:val="24"/>
        </w:rPr>
        <w:t>自</w:t>
      </w:r>
      <w:r>
        <w:rPr>
          <w:bCs/>
          <w:sz w:val="24"/>
        </w:rPr>
        <w:t>2020</w:t>
      </w:r>
      <w:r>
        <w:rPr>
          <w:rFonts w:hint="eastAsia"/>
          <w:bCs/>
          <w:sz w:val="24"/>
        </w:rPr>
        <w:t>年</w:t>
      </w:r>
      <w:r>
        <w:rPr>
          <w:bCs/>
          <w:sz w:val="24"/>
        </w:rPr>
        <w:t>3</w:t>
      </w:r>
      <w:r>
        <w:rPr>
          <w:rFonts w:hint="eastAsia"/>
          <w:bCs/>
          <w:sz w:val="24"/>
        </w:rPr>
        <w:t>月</w:t>
      </w:r>
      <w:r>
        <w:rPr>
          <w:bCs/>
          <w:sz w:val="24"/>
        </w:rPr>
        <w:t>1</w:t>
      </w:r>
      <w:r>
        <w:rPr>
          <w:rFonts w:hint="eastAsia"/>
          <w:bCs/>
          <w:sz w:val="24"/>
        </w:rPr>
        <w:t>日</w:t>
      </w:r>
      <w:r>
        <w:rPr>
          <w:bCs/>
          <w:sz w:val="24"/>
        </w:rPr>
        <w:t>起实施的《中华人民共和国证券</w:t>
      </w:r>
      <w:r>
        <w:rPr>
          <w:rFonts w:hint="eastAsia"/>
          <w:bCs/>
          <w:sz w:val="24"/>
        </w:rPr>
        <w:t>法</w:t>
      </w:r>
      <w:r>
        <w:rPr>
          <w:bCs/>
          <w:sz w:val="24"/>
        </w:rPr>
        <w:t>》及颁布机关对其不时做出的修订</w:t>
      </w:r>
    </w:p>
    <w:p>
      <w:pPr>
        <w:pStyle w:val="46"/>
        <w:numPr>
          <w:ilvl w:val="0"/>
          <w:numId w:val="2"/>
        </w:numPr>
        <w:spacing w:line="360" w:lineRule="auto"/>
        <w:ind w:firstLineChars="0"/>
        <w:rPr>
          <w:bCs/>
          <w:sz w:val="24"/>
        </w:rPr>
      </w:pPr>
      <w:r>
        <w:rPr>
          <w:bCs/>
          <w:sz w:val="24"/>
        </w:rPr>
        <w:t>《销售办法》：</w:t>
      </w:r>
      <w:r>
        <w:rPr>
          <w:rFonts w:hint="eastAsia"/>
          <w:bCs/>
          <w:sz w:val="24"/>
        </w:rPr>
        <w:t>指中国证监会2013年3月15日颁布、同年6月1日实施的《证券投资基金销售管理办法》及颁布机关对其不时做出的修订</w:t>
      </w:r>
    </w:p>
    <w:p>
      <w:pPr>
        <w:pStyle w:val="46"/>
        <w:numPr>
          <w:ilvl w:val="0"/>
          <w:numId w:val="2"/>
        </w:numPr>
        <w:spacing w:line="360" w:lineRule="auto"/>
        <w:ind w:firstLineChars="0"/>
        <w:rPr>
          <w:bCs/>
          <w:sz w:val="24"/>
        </w:rPr>
      </w:pP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月1日实施，</w:t>
      </w:r>
      <w:r>
        <w:rPr>
          <w:rFonts w:hint="eastAsia"/>
          <w:bCs/>
          <w:sz w:val="24"/>
        </w:rPr>
        <w:t>并</w:t>
      </w:r>
      <w:r>
        <w:rPr>
          <w:bCs/>
          <w:sz w:val="24"/>
        </w:rPr>
        <w:t>经2020</w:t>
      </w:r>
      <w:r>
        <w:rPr>
          <w:rFonts w:hint="eastAsia"/>
          <w:bCs/>
          <w:sz w:val="24"/>
        </w:rPr>
        <w:t>年</w:t>
      </w:r>
      <w:r>
        <w:rPr>
          <w:bCs/>
          <w:sz w:val="24"/>
        </w:rPr>
        <w:t>3</w:t>
      </w:r>
      <w:r>
        <w:rPr>
          <w:rFonts w:hint="eastAsia"/>
          <w:bCs/>
          <w:sz w:val="24"/>
        </w:rPr>
        <w:t>月</w:t>
      </w:r>
      <w:r>
        <w:rPr>
          <w:bCs/>
          <w:sz w:val="24"/>
        </w:rPr>
        <w:t>20</w:t>
      </w:r>
      <w:r>
        <w:rPr>
          <w:rFonts w:hint="eastAsia"/>
          <w:bCs/>
          <w:sz w:val="24"/>
        </w:rPr>
        <w:t>日</w:t>
      </w:r>
      <w:r>
        <w:rPr>
          <w:bCs/>
          <w:sz w:val="24"/>
        </w:rPr>
        <w:t>中国证监会《关于修改部分证券期货规章的决定》修正的《公开募集证券投资基金信息披露管理办法》及颁布机关对其不时做出的修订</w:t>
      </w:r>
    </w:p>
    <w:p>
      <w:pPr>
        <w:pStyle w:val="46"/>
        <w:numPr>
          <w:ilvl w:val="0"/>
          <w:numId w:val="2"/>
        </w:numPr>
        <w:spacing w:line="360" w:lineRule="auto"/>
        <w:ind w:firstLineChars="0"/>
        <w:rPr>
          <w:bCs/>
          <w:sz w:val="24"/>
        </w:rPr>
      </w:pPr>
      <w:r>
        <w:rPr>
          <w:bCs/>
          <w:sz w:val="24"/>
        </w:rPr>
        <w:t>《运作办法》：指中国证监会201</w:t>
      </w:r>
      <w:r>
        <w:rPr>
          <w:rFonts w:hint="eastAsia"/>
          <w:bCs/>
          <w:sz w:val="24"/>
        </w:rPr>
        <w:t>4</w:t>
      </w:r>
      <w:r>
        <w:rPr>
          <w:bCs/>
          <w:sz w:val="24"/>
        </w:rPr>
        <w:t>年7月7日颁布、同年8月8日实施的</w:t>
      </w:r>
      <w:r>
        <w:rPr>
          <w:rFonts w:hint="eastAsia"/>
          <w:bCs/>
          <w:sz w:val="24"/>
        </w:rPr>
        <w:t>《公开募集证券投资基金运作管理办法》</w:t>
      </w:r>
      <w:r>
        <w:rPr>
          <w:bCs/>
          <w:sz w:val="24"/>
        </w:rPr>
        <w:t>及颁布机关对其不时做出的修订</w:t>
      </w:r>
    </w:p>
    <w:p>
      <w:pPr>
        <w:pStyle w:val="46"/>
        <w:numPr>
          <w:ilvl w:val="0"/>
          <w:numId w:val="2"/>
        </w:numPr>
        <w:spacing w:line="360" w:lineRule="auto"/>
        <w:ind w:firstLineChars="0"/>
        <w:rPr>
          <w:bCs/>
          <w:sz w:val="24"/>
        </w:rPr>
      </w:pPr>
      <w:r>
        <w:rPr>
          <w:rFonts w:hint="eastAsia"/>
          <w:bCs/>
          <w:sz w:val="24"/>
        </w:rPr>
        <w:t>《流动性风险管理规定》：指中国证监会2017年8月31日颁布、同年10月1日实施的《公开募集开放式证券投资基金流动性风险管理规定》及颁布机关对其不时做出的修订</w:t>
      </w:r>
    </w:p>
    <w:p>
      <w:pPr>
        <w:pStyle w:val="46"/>
        <w:numPr>
          <w:ilvl w:val="0"/>
          <w:numId w:val="2"/>
        </w:numPr>
        <w:spacing w:line="360" w:lineRule="auto"/>
        <w:ind w:firstLineChars="0"/>
        <w:rPr>
          <w:bCs/>
          <w:sz w:val="24"/>
        </w:rPr>
      </w:pPr>
      <w:r>
        <w:rPr>
          <w:bCs/>
          <w:sz w:val="24"/>
        </w:rPr>
        <w:t>中国证监会：指中国证券监督管理委员会</w:t>
      </w:r>
    </w:p>
    <w:p>
      <w:pPr>
        <w:pStyle w:val="46"/>
        <w:numPr>
          <w:ilvl w:val="0"/>
          <w:numId w:val="2"/>
        </w:numPr>
        <w:spacing w:line="360" w:lineRule="auto"/>
        <w:ind w:firstLineChars="0"/>
        <w:rPr>
          <w:bCs/>
          <w:sz w:val="24"/>
        </w:rPr>
      </w:pPr>
      <w:r>
        <w:rPr>
          <w:rFonts w:hint="eastAsia"/>
          <w:bCs/>
          <w:sz w:val="24"/>
        </w:rPr>
        <w:t>银行</w:t>
      </w:r>
      <w:r>
        <w:rPr>
          <w:bCs/>
          <w:sz w:val="24"/>
        </w:rPr>
        <w:t>保险</w:t>
      </w:r>
      <w:r>
        <w:rPr>
          <w:rFonts w:hint="eastAsia"/>
          <w:bCs/>
          <w:sz w:val="24"/>
        </w:rPr>
        <w:t>监督管理机构：指中国人民银行和/或中国银行保险监督管理委员会</w:t>
      </w:r>
    </w:p>
    <w:p>
      <w:pPr>
        <w:pStyle w:val="46"/>
        <w:numPr>
          <w:ilvl w:val="0"/>
          <w:numId w:val="2"/>
        </w:numPr>
        <w:spacing w:line="360" w:lineRule="auto"/>
        <w:ind w:firstLineChars="0"/>
        <w:rPr>
          <w:bCs/>
          <w:sz w:val="24"/>
        </w:rPr>
      </w:pPr>
      <w:r>
        <w:rPr>
          <w:bCs/>
          <w:sz w:val="24"/>
        </w:rPr>
        <w:t>基金合同当事人：指受基金合同约束，根据基金合同享有权利并承担义务的法律主体，包括基金管理人、基金托管人和基金份额持有人</w:t>
      </w:r>
    </w:p>
    <w:p>
      <w:pPr>
        <w:pStyle w:val="46"/>
        <w:numPr>
          <w:ilvl w:val="0"/>
          <w:numId w:val="2"/>
        </w:numPr>
        <w:spacing w:line="360" w:lineRule="auto"/>
        <w:ind w:firstLineChars="0"/>
        <w:rPr>
          <w:bCs/>
          <w:sz w:val="24"/>
        </w:rPr>
      </w:pPr>
      <w:r>
        <w:rPr>
          <w:bCs/>
          <w:sz w:val="24"/>
        </w:rPr>
        <w:t>个人投资者：指依据有关法律法规规定可投资于证券投资基金的自然人</w:t>
      </w:r>
    </w:p>
    <w:p>
      <w:pPr>
        <w:pStyle w:val="46"/>
        <w:numPr>
          <w:ilvl w:val="0"/>
          <w:numId w:val="2"/>
        </w:numPr>
        <w:spacing w:line="360" w:lineRule="auto"/>
        <w:ind w:firstLineChars="0"/>
        <w:rPr>
          <w:bCs/>
          <w:sz w:val="24"/>
        </w:rPr>
      </w:pPr>
      <w:r>
        <w:rPr>
          <w:bCs/>
          <w:sz w:val="24"/>
        </w:rPr>
        <w:t>机构投资者：指依法可以投资证券投资基金的、在中华人民共和国境内合法登记并存续或经有关政府部门批准设立并存续的企业法人、事业法人、社会团体或其他组织</w:t>
      </w:r>
    </w:p>
    <w:p>
      <w:pPr>
        <w:pStyle w:val="46"/>
        <w:numPr>
          <w:ilvl w:val="0"/>
          <w:numId w:val="2"/>
        </w:numPr>
        <w:spacing w:line="360" w:lineRule="auto"/>
        <w:ind w:firstLineChars="0"/>
        <w:rPr>
          <w:bCs/>
          <w:sz w:val="24"/>
        </w:rPr>
      </w:pP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pStyle w:val="46"/>
        <w:numPr>
          <w:ilvl w:val="0"/>
          <w:numId w:val="2"/>
        </w:numPr>
        <w:spacing w:line="360" w:lineRule="auto"/>
        <w:ind w:firstLineChars="0"/>
        <w:rPr>
          <w:bCs/>
          <w:sz w:val="24"/>
        </w:rPr>
      </w:pP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pPr>
        <w:pStyle w:val="46"/>
        <w:numPr>
          <w:ilvl w:val="0"/>
          <w:numId w:val="2"/>
        </w:numPr>
        <w:spacing w:line="360" w:lineRule="auto"/>
        <w:ind w:firstLineChars="0"/>
        <w:rPr>
          <w:bCs/>
          <w:sz w:val="24"/>
        </w:rPr>
      </w:pPr>
      <w:r>
        <w:rPr>
          <w:bCs/>
          <w:sz w:val="24"/>
        </w:rPr>
        <w:t>投资人</w:t>
      </w:r>
      <w:r>
        <w:rPr>
          <w:rFonts w:hint="eastAsia"/>
          <w:bCs/>
          <w:sz w:val="24"/>
        </w:rPr>
        <w:t>、投资者</w:t>
      </w:r>
      <w:r>
        <w:rPr>
          <w:bCs/>
          <w:sz w:val="24"/>
        </w:rPr>
        <w:t>：指机构投资者</w:t>
      </w:r>
      <w:r>
        <w:rPr>
          <w:rFonts w:hint="eastAsia"/>
          <w:bCs/>
          <w:sz w:val="24"/>
        </w:rPr>
        <w:t>、</w:t>
      </w:r>
      <w:r>
        <w:rPr>
          <w:bCs/>
          <w:sz w:val="24"/>
        </w:rPr>
        <w:t>合格境外机构投资者</w:t>
      </w:r>
      <w:r>
        <w:rPr>
          <w:rFonts w:hint="eastAsia"/>
          <w:bCs/>
          <w:sz w:val="24"/>
        </w:rPr>
        <w:t>和人民币合格境外机构投资者、发起资金提供方</w:t>
      </w:r>
      <w:r>
        <w:rPr>
          <w:bCs/>
          <w:sz w:val="24"/>
        </w:rPr>
        <w:t>以及法律法规或中国证监会允许购买证券投资基金的其他投资人的合称</w:t>
      </w:r>
      <w:r>
        <w:rPr>
          <w:rFonts w:hint="eastAsia"/>
          <w:bCs/>
          <w:sz w:val="24"/>
        </w:rPr>
        <w:t>，本基金不向个人投资者销售</w:t>
      </w:r>
    </w:p>
    <w:p>
      <w:pPr>
        <w:pStyle w:val="46"/>
        <w:numPr>
          <w:ilvl w:val="0"/>
          <w:numId w:val="2"/>
        </w:numPr>
        <w:spacing w:line="360" w:lineRule="auto"/>
        <w:ind w:firstLineChars="0"/>
        <w:rPr>
          <w:bCs/>
          <w:sz w:val="24"/>
        </w:rPr>
      </w:pPr>
      <w:r>
        <w:rPr>
          <w:bCs/>
          <w:sz w:val="24"/>
        </w:rPr>
        <w:t>基金份额持有人：指依基金合同和招募说明书合法取得基金份额的投资人</w:t>
      </w:r>
    </w:p>
    <w:p>
      <w:pPr>
        <w:pStyle w:val="46"/>
        <w:numPr>
          <w:ilvl w:val="0"/>
          <w:numId w:val="2"/>
        </w:numPr>
        <w:spacing w:line="360" w:lineRule="auto"/>
        <w:ind w:firstLineChars="0"/>
        <w:rPr>
          <w:bCs/>
          <w:sz w:val="24"/>
        </w:rPr>
      </w:pPr>
      <w:r>
        <w:rPr>
          <w:bCs/>
          <w:sz w:val="24"/>
        </w:rPr>
        <w:t>基金销售业务：指基金管理人或销售机构宣传推介基金，发售基金份额，办理基金份额的申购、赎回、</w:t>
      </w:r>
      <w:r>
        <w:rPr>
          <w:rFonts w:hint="eastAsia"/>
          <w:bCs/>
          <w:sz w:val="24"/>
        </w:rPr>
        <w:t>转换、转托管及</w:t>
      </w:r>
      <w:r>
        <w:rPr>
          <w:bCs/>
          <w:sz w:val="24"/>
        </w:rPr>
        <w:t>定期定额投资等业务</w:t>
      </w:r>
    </w:p>
    <w:p>
      <w:pPr>
        <w:pStyle w:val="46"/>
        <w:numPr>
          <w:ilvl w:val="0"/>
          <w:numId w:val="2"/>
        </w:numPr>
        <w:spacing w:line="360" w:lineRule="auto"/>
        <w:ind w:firstLineChars="0"/>
        <w:rPr>
          <w:bCs/>
          <w:sz w:val="24"/>
        </w:rPr>
      </w:pPr>
      <w:r>
        <w:rPr>
          <w:bCs/>
          <w:sz w:val="24"/>
        </w:rPr>
        <w:t>销售机构：指</w:t>
      </w:r>
      <w:r>
        <w:rPr>
          <w:rFonts w:hint="eastAsia"/>
          <w:bCs/>
          <w:sz w:val="24"/>
        </w:rPr>
        <w:t>太平</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pPr>
        <w:pStyle w:val="46"/>
        <w:numPr>
          <w:ilvl w:val="0"/>
          <w:numId w:val="2"/>
        </w:numPr>
        <w:spacing w:line="360" w:lineRule="auto"/>
        <w:ind w:firstLineChars="0"/>
        <w:rPr>
          <w:bCs/>
          <w:sz w:val="24"/>
        </w:rPr>
      </w:pP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pStyle w:val="46"/>
        <w:numPr>
          <w:ilvl w:val="0"/>
          <w:numId w:val="2"/>
        </w:numPr>
        <w:spacing w:line="360" w:lineRule="auto"/>
        <w:ind w:firstLineChars="0"/>
        <w:rPr>
          <w:bCs/>
          <w:sz w:val="24"/>
        </w:rPr>
      </w:pPr>
      <w:r>
        <w:rPr>
          <w:bCs/>
          <w:sz w:val="24"/>
        </w:rPr>
        <w:t>登记机构：指办理登记业务的机构。基金的登记机构为</w:t>
      </w:r>
      <w:r>
        <w:rPr>
          <w:rFonts w:hint="eastAsia"/>
          <w:bCs/>
          <w:sz w:val="24"/>
        </w:rPr>
        <w:t>太平</w:t>
      </w:r>
      <w:r>
        <w:rPr>
          <w:bCs/>
          <w:sz w:val="24"/>
        </w:rPr>
        <w:t>基金</w:t>
      </w:r>
      <w:r>
        <w:rPr>
          <w:rFonts w:hint="eastAsia"/>
          <w:bCs/>
          <w:sz w:val="24"/>
        </w:rPr>
        <w:t>管理有限</w:t>
      </w:r>
      <w:r>
        <w:rPr>
          <w:bCs/>
          <w:sz w:val="24"/>
        </w:rPr>
        <w:t>公司或接受</w:t>
      </w:r>
      <w:r>
        <w:rPr>
          <w:rFonts w:hint="eastAsia"/>
          <w:bCs/>
          <w:sz w:val="24"/>
        </w:rPr>
        <w:t>太平</w:t>
      </w:r>
      <w:r>
        <w:rPr>
          <w:bCs/>
          <w:sz w:val="24"/>
        </w:rPr>
        <w:t>基金</w:t>
      </w:r>
      <w:r>
        <w:rPr>
          <w:rFonts w:hint="eastAsia"/>
          <w:bCs/>
          <w:sz w:val="24"/>
        </w:rPr>
        <w:t>管理有限</w:t>
      </w:r>
      <w:r>
        <w:rPr>
          <w:bCs/>
          <w:sz w:val="24"/>
        </w:rPr>
        <w:t>公司委托代为办理登记业务的机构</w:t>
      </w:r>
    </w:p>
    <w:p>
      <w:pPr>
        <w:pStyle w:val="46"/>
        <w:numPr>
          <w:ilvl w:val="0"/>
          <w:numId w:val="2"/>
        </w:numPr>
        <w:spacing w:line="360" w:lineRule="auto"/>
        <w:ind w:firstLineChars="0"/>
        <w:rPr>
          <w:bCs/>
          <w:sz w:val="24"/>
        </w:rPr>
      </w:pPr>
      <w:r>
        <w:rPr>
          <w:bCs/>
          <w:sz w:val="24"/>
        </w:rPr>
        <w:t>基金账户：指登记机构为投资人开立的、记录其持有的、基金管理人所管理的基金份额余额及其变动情况的账户</w:t>
      </w:r>
    </w:p>
    <w:p>
      <w:pPr>
        <w:pStyle w:val="46"/>
        <w:numPr>
          <w:ilvl w:val="0"/>
          <w:numId w:val="2"/>
        </w:numPr>
        <w:spacing w:line="360" w:lineRule="auto"/>
        <w:ind w:firstLineChars="0"/>
        <w:rPr>
          <w:bCs/>
          <w:sz w:val="24"/>
        </w:rPr>
      </w:pP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pPr>
        <w:pStyle w:val="46"/>
        <w:numPr>
          <w:ilvl w:val="0"/>
          <w:numId w:val="2"/>
        </w:numPr>
        <w:spacing w:line="360" w:lineRule="auto"/>
        <w:ind w:firstLineChars="0"/>
        <w:rPr>
          <w:bCs/>
          <w:sz w:val="24"/>
        </w:rPr>
      </w:pPr>
      <w:r>
        <w:rPr>
          <w:bCs/>
          <w:sz w:val="24"/>
        </w:rPr>
        <w:t>基金合同生效日：指基金募集达到法律法规规定及基金合同规定的条件，基金管理人向中国证监会办理基金备案手续完毕，并获得中国证监会书面确认的日期</w:t>
      </w:r>
    </w:p>
    <w:p>
      <w:pPr>
        <w:pStyle w:val="46"/>
        <w:numPr>
          <w:ilvl w:val="0"/>
          <w:numId w:val="2"/>
        </w:numPr>
        <w:spacing w:line="360" w:lineRule="auto"/>
        <w:ind w:firstLineChars="0"/>
        <w:rPr>
          <w:bCs/>
          <w:sz w:val="24"/>
        </w:rPr>
      </w:pPr>
      <w:r>
        <w:rPr>
          <w:bCs/>
          <w:sz w:val="24"/>
        </w:rPr>
        <w:t>基金合同终止日：指基金合同规定的基金合同终止事由出现后，基金财产清算完毕，清算结果报中国证监会备案并予以公告的日期</w:t>
      </w:r>
    </w:p>
    <w:p>
      <w:pPr>
        <w:pStyle w:val="46"/>
        <w:numPr>
          <w:ilvl w:val="0"/>
          <w:numId w:val="2"/>
        </w:numPr>
        <w:spacing w:line="360" w:lineRule="auto"/>
        <w:ind w:firstLineChars="0"/>
        <w:rPr>
          <w:bCs/>
          <w:sz w:val="24"/>
        </w:rPr>
      </w:pPr>
      <w:r>
        <w:rPr>
          <w:bCs/>
          <w:sz w:val="24"/>
        </w:rPr>
        <w:t>基金募集期：指自基金份额发售之日起至发售结束之日止的期间，最长不得超过</w:t>
      </w:r>
      <w:r>
        <w:rPr>
          <w:rFonts w:hint="eastAsia"/>
          <w:bCs/>
          <w:sz w:val="24"/>
        </w:rPr>
        <w:t>3</w:t>
      </w:r>
      <w:r>
        <w:rPr>
          <w:bCs/>
          <w:sz w:val="24"/>
        </w:rPr>
        <w:t>个月</w:t>
      </w:r>
    </w:p>
    <w:p>
      <w:pPr>
        <w:pStyle w:val="46"/>
        <w:numPr>
          <w:ilvl w:val="0"/>
          <w:numId w:val="2"/>
        </w:numPr>
        <w:spacing w:line="360" w:lineRule="auto"/>
        <w:ind w:firstLineChars="0"/>
        <w:rPr>
          <w:bCs/>
          <w:sz w:val="24"/>
        </w:rPr>
      </w:pPr>
      <w:r>
        <w:rPr>
          <w:bCs/>
          <w:sz w:val="24"/>
        </w:rPr>
        <w:t>存续期：指基金合同生效至终止之间的不定期期限</w:t>
      </w:r>
    </w:p>
    <w:p>
      <w:pPr>
        <w:pStyle w:val="46"/>
        <w:numPr>
          <w:ilvl w:val="0"/>
          <w:numId w:val="2"/>
        </w:numPr>
        <w:spacing w:line="360" w:lineRule="auto"/>
        <w:ind w:firstLineChars="0"/>
        <w:rPr>
          <w:bCs/>
          <w:sz w:val="24"/>
        </w:rPr>
      </w:pPr>
      <w:r>
        <w:rPr>
          <w:bCs/>
          <w:sz w:val="24"/>
        </w:rPr>
        <w:t>工作日：指上海证券交易所、深圳证券交易所</w:t>
      </w:r>
      <w:r>
        <w:rPr>
          <w:rFonts w:ascii="Arial" w:hAnsi="Arial" w:cs="Arial"/>
          <w:bCs/>
          <w:sz w:val="24"/>
        </w:rPr>
        <w:t>及相关金融期货交易所</w:t>
      </w:r>
      <w:r>
        <w:rPr>
          <w:bCs/>
          <w:sz w:val="24"/>
        </w:rPr>
        <w:t>的正常交易日</w:t>
      </w:r>
    </w:p>
    <w:p>
      <w:pPr>
        <w:pStyle w:val="46"/>
        <w:numPr>
          <w:ilvl w:val="0"/>
          <w:numId w:val="2"/>
        </w:numPr>
        <w:spacing w:line="360" w:lineRule="auto"/>
        <w:ind w:firstLineChars="0"/>
        <w:rPr>
          <w:bCs/>
          <w:sz w:val="24"/>
        </w:rPr>
      </w:pPr>
      <w:r>
        <w:rPr>
          <w:bCs/>
          <w:sz w:val="24"/>
        </w:rPr>
        <w:t>T日：指销售机构在规定时间受理投资人申购、赎回或其他业务申请的开放日</w:t>
      </w:r>
    </w:p>
    <w:p>
      <w:pPr>
        <w:pStyle w:val="46"/>
        <w:numPr>
          <w:ilvl w:val="0"/>
          <w:numId w:val="2"/>
        </w:numPr>
        <w:spacing w:line="360" w:lineRule="auto"/>
        <w:ind w:firstLineChars="0"/>
        <w:rPr>
          <w:bCs/>
          <w:sz w:val="24"/>
        </w:rPr>
      </w:pPr>
      <w:r>
        <w:rPr>
          <w:bCs/>
          <w:sz w:val="24"/>
        </w:rPr>
        <w:t>T+n日：指自T日起第n个工作日(不包含T日)，</w:t>
      </w:r>
      <w:r>
        <w:rPr>
          <w:rFonts w:hint="eastAsia"/>
          <w:bCs/>
          <w:sz w:val="24"/>
        </w:rPr>
        <w:t>n为自然数</w:t>
      </w:r>
    </w:p>
    <w:p>
      <w:pPr>
        <w:pStyle w:val="46"/>
        <w:numPr>
          <w:ilvl w:val="0"/>
          <w:numId w:val="2"/>
        </w:numPr>
        <w:spacing w:line="360" w:lineRule="auto"/>
        <w:ind w:firstLineChars="0"/>
        <w:rPr>
          <w:bCs/>
          <w:sz w:val="24"/>
        </w:rPr>
      </w:pPr>
      <w:r>
        <w:rPr>
          <w:rFonts w:hint="eastAsia"/>
          <w:bCs/>
          <w:sz w:val="24"/>
        </w:rPr>
        <w:t>封闭期：</w:t>
      </w:r>
      <w:r>
        <w:rPr>
          <w:bCs/>
          <w:sz w:val="24"/>
        </w:rPr>
        <w:t>本基金的首个封闭期为自基金合同生效日</w:t>
      </w:r>
      <w:r>
        <w:rPr>
          <w:rFonts w:hint="eastAsia"/>
          <w:bCs/>
          <w:sz w:val="24"/>
        </w:rPr>
        <w:t>（含该日）</w:t>
      </w:r>
      <w:r>
        <w:rPr>
          <w:bCs/>
          <w:sz w:val="24"/>
        </w:rPr>
        <w:t>起至基金合同生效日</w:t>
      </w:r>
      <w:r>
        <w:rPr>
          <w:rFonts w:hint="eastAsia"/>
          <w:bCs/>
          <w:sz w:val="24"/>
        </w:rPr>
        <w:t>一年后的对应日（如该日为非工作日或无对应日期，则顺延至下一工作日）的前一日（含）之间的期间</w:t>
      </w:r>
      <w:r>
        <w:rPr>
          <w:bCs/>
          <w:sz w:val="24"/>
        </w:rPr>
        <w:t>，之后的封闭期为每相邻两个开放期之间的期间。本基金在封闭期内不</w:t>
      </w:r>
      <w:r>
        <w:rPr>
          <w:rFonts w:hint="eastAsia"/>
          <w:bCs/>
          <w:sz w:val="24"/>
        </w:rPr>
        <w:t>办理</w:t>
      </w:r>
      <w:r>
        <w:rPr>
          <w:bCs/>
          <w:sz w:val="24"/>
        </w:rPr>
        <w:t>申购与赎回业务</w:t>
      </w:r>
      <w:r>
        <w:rPr>
          <w:rFonts w:hint="eastAsia"/>
          <w:bCs/>
          <w:sz w:val="24"/>
        </w:rPr>
        <w:t>，也不上市交易</w:t>
      </w:r>
    </w:p>
    <w:p>
      <w:pPr>
        <w:pStyle w:val="46"/>
        <w:numPr>
          <w:ilvl w:val="0"/>
          <w:numId w:val="2"/>
        </w:numPr>
        <w:spacing w:line="360" w:lineRule="auto"/>
        <w:ind w:firstLineChars="0"/>
        <w:rPr>
          <w:bCs/>
          <w:sz w:val="24"/>
        </w:rPr>
      </w:pPr>
      <w:r>
        <w:rPr>
          <w:rFonts w:hint="eastAsia"/>
          <w:bCs/>
          <w:sz w:val="24"/>
        </w:rPr>
        <w:t>开放期：本基金自封闭期结束之日的下一个工作日（含）起进入开放期，期间开放办理申购、赎回等业务。开放期不少于1个工作日并且最长不超过20个工作日，具体期间由基金管理人在封闭期结束前公告说明。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w:t>
      </w:r>
    </w:p>
    <w:p>
      <w:pPr>
        <w:pStyle w:val="46"/>
        <w:numPr>
          <w:ilvl w:val="0"/>
          <w:numId w:val="2"/>
        </w:numPr>
        <w:spacing w:line="360" w:lineRule="auto"/>
        <w:ind w:firstLineChars="0"/>
        <w:rPr>
          <w:bCs/>
          <w:sz w:val="24"/>
        </w:rPr>
      </w:pPr>
      <w:r>
        <w:rPr>
          <w:bCs/>
          <w:sz w:val="24"/>
        </w:rPr>
        <w:t>开放日：指为投资人办理基金份额申购、赎回或其他业务的工作日</w:t>
      </w:r>
    </w:p>
    <w:p>
      <w:pPr>
        <w:pStyle w:val="46"/>
        <w:numPr>
          <w:ilvl w:val="0"/>
          <w:numId w:val="2"/>
        </w:numPr>
        <w:spacing w:line="360" w:lineRule="auto"/>
        <w:ind w:firstLineChars="0"/>
        <w:rPr>
          <w:bCs/>
          <w:sz w:val="24"/>
        </w:rPr>
      </w:pPr>
      <w:r>
        <w:rPr>
          <w:bCs/>
          <w:sz w:val="24"/>
        </w:rPr>
        <w:t>开放时间：指开放日基金接受申购、赎回或其他交易的时间段</w:t>
      </w:r>
    </w:p>
    <w:p>
      <w:pPr>
        <w:pStyle w:val="46"/>
        <w:numPr>
          <w:ilvl w:val="0"/>
          <w:numId w:val="2"/>
        </w:numPr>
        <w:spacing w:line="360" w:lineRule="auto"/>
        <w:ind w:firstLineChars="0"/>
        <w:rPr>
          <w:bCs/>
          <w:sz w:val="24"/>
        </w:rPr>
      </w:pPr>
      <w:r>
        <w:rPr>
          <w:bCs/>
          <w:sz w:val="24"/>
        </w:rPr>
        <w:t>《业务规则》：指《</w:t>
      </w:r>
      <w:r>
        <w:rPr>
          <w:rFonts w:hint="eastAsia"/>
          <w:bCs/>
          <w:sz w:val="24"/>
        </w:rPr>
        <w:t>太平</w:t>
      </w:r>
      <w:r>
        <w:rPr>
          <w:bCs/>
          <w:sz w:val="24"/>
        </w:rPr>
        <w:t>基金</w:t>
      </w:r>
      <w:r>
        <w:rPr>
          <w:rFonts w:hint="eastAsia"/>
          <w:bCs/>
          <w:sz w:val="24"/>
        </w:rPr>
        <w:t>管理有限</w:t>
      </w:r>
      <w:r>
        <w:rPr>
          <w:bCs/>
          <w:sz w:val="24"/>
        </w:rPr>
        <w:t>公司开放式基金业务规则》，是</w:t>
      </w:r>
      <w:r>
        <w:rPr>
          <w:rFonts w:hint="eastAsia" w:ascii="宋体" w:hAnsi="宋体" w:cs="宋体"/>
          <w:bCs/>
          <w:sz w:val="24"/>
        </w:rPr>
        <w:t>由基金管理人制定并不时修订，</w:t>
      </w:r>
      <w:r>
        <w:rPr>
          <w:bCs/>
          <w:sz w:val="24"/>
        </w:rPr>
        <w:t>规范基金管理人所管理的开放式证券投资基金登记方面的业务规则，由基金管理人和投资人共同遵守</w:t>
      </w:r>
    </w:p>
    <w:p>
      <w:pPr>
        <w:pStyle w:val="46"/>
        <w:numPr>
          <w:ilvl w:val="0"/>
          <w:numId w:val="2"/>
        </w:numPr>
        <w:spacing w:line="360" w:lineRule="auto"/>
        <w:ind w:firstLineChars="0"/>
        <w:rPr>
          <w:bCs/>
          <w:sz w:val="24"/>
        </w:rPr>
      </w:pPr>
      <w:r>
        <w:rPr>
          <w:bCs/>
          <w:sz w:val="24"/>
        </w:rPr>
        <w:t>认购：指在基金募集期内，投资人</w:t>
      </w:r>
      <w:r>
        <w:rPr>
          <w:rFonts w:hint="eastAsia"/>
          <w:bCs/>
          <w:sz w:val="24"/>
        </w:rPr>
        <w:t>根据基金合同和招募说明书的规定</w:t>
      </w:r>
      <w:r>
        <w:rPr>
          <w:bCs/>
          <w:sz w:val="24"/>
        </w:rPr>
        <w:t>申请购买基金份额的行为</w:t>
      </w:r>
    </w:p>
    <w:p>
      <w:pPr>
        <w:pStyle w:val="46"/>
        <w:numPr>
          <w:ilvl w:val="0"/>
          <w:numId w:val="2"/>
        </w:numPr>
        <w:spacing w:line="360" w:lineRule="auto"/>
        <w:ind w:firstLineChars="0"/>
        <w:rPr>
          <w:bCs/>
          <w:sz w:val="24"/>
        </w:rPr>
      </w:pPr>
      <w:r>
        <w:rPr>
          <w:bCs/>
          <w:sz w:val="24"/>
        </w:rPr>
        <w:t>申购：指基金合同生效后</w:t>
      </w:r>
      <w:r>
        <w:rPr>
          <w:rFonts w:hint="eastAsia"/>
          <w:bCs/>
          <w:sz w:val="24"/>
        </w:rPr>
        <w:t>的开放期</w:t>
      </w:r>
      <w:r>
        <w:rPr>
          <w:bCs/>
          <w:sz w:val="24"/>
        </w:rPr>
        <w:t>内，投资人根据基金合同和招募说明书的规定申请购买基金份额的行为</w:t>
      </w:r>
    </w:p>
    <w:p>
      <w:pPr>
        <w:pStyle w:val="46"/>
        <w:numPr>
          <w:ilvl w:val="0"/>
          <w:numId w:val="2"/>
        </w:numPr>
        <w:spacing w:line="360" w:lineRule="auto"/>
        <w:ind w:firstLineChars="0"/>
        <w:rPr>
          <w:bCs/>
          <w:sz w:val="24"/>
        </w:rPr>
      </w:pPr>
      <w:r>
        <w:rPr>
          <w:bCs/>
          <w:sz w:val="24"/>
        </w:rPr>
        <w:t>赎回：指基金合同生效后</w:t>
      </w:r>
      <w:r>
        <w:rPr>
          <w:rFonts w:hint="eastAsia"/>
          <w:bCs/>
          <w:sz w:val="24"/>
        </w:rPr>
        <w:t>的开放期内</w:t>
      </w:r>
      <w:r>
        <w:rPr>
          <w:bCs/>
          <w:sz w:val="24"/>
        </w:rPr>
        <w:t>，基金份额持有人按基金合同</w:t>
      </w:r>
      <w:r>
        <w:rPr>
          <w:rFonts w:hint="eastAsia"/>
          <w:bCs/>
          <w:sz w:val="24"/>
        </w:rPr>
        <w:t>和招募说明书</w:t>
      </w:r>
      <w:r>
        <w:rPr>
          <w:bCs/>
          <w:sz w:val="24"/>
        </w:rPr>
        <w:t>规定的条件要求将基金份额兑换为现金的行为</w:t>
      </w:r>
    </w:p>
    <w:p>
      <w:pPr>
        <w:pStyle w:val="46"/>
        <w:numPr>
          <w:ilvl w:val="0"/>
          <w:numId w:val="2"/>
        </w:numPr>
        <w:spacing w:line="360" w:lineRule="auto"/>
        <w:ind w:firstLineChars="0"/>
        <w:rPr>
          <w:bCs/>
          <w:sz w:val="24"/>
        </w:rPr>
      </w:pPr>
      <w:r>
        <w:rPr>
          <w:bCs/>
          <w:sz w:val="24"/>
        </w:rPr>
        <w:t>基金转换：</w:t>
      </w:r>
      <w:r>
        <w:rPr>
          <w:rFonts w:hint="eastAsia"/>
          <w:bCs/>
          <w:sz w:val="24"/>
        </w:rPr>
        <w:t>指基金份额持有人按照本基金合同和基金管理人届时有效公告规定的条件，申请将其持有基金管理人管理的、某一基金的基金份额转换为基金管理人管理的其他基金基金份额的行为</w:t>
      </w:r>
    </w:p>
    <w:p>
      <w:pPr>
        <w:pStyle w:val="46"/>
        <w:numPr>
          <w:ilvl w:val="0"/>
          <w:numId w:val="2"/>
        </w:numPr>
        <w:spacing w:line="360" w:lineRule="auto"/>
        <w:ind w:firstLineChars="0"/>
        <w:rPr>
          <w:bCs/>
          <w:sz w:val="24"/>
        </w:rPr>
      </w:pPr>
      <w:r>
        <w:rPr>
          <w:rFonts w:hint="eastAsia"/>
          <w:bCs/>
          <w:sz w:val="24"/>
        </w:rPr>
        <w:t>转托管：指基金份额持有人在本基金的不同销售机构之间实施的变更所持基金份额销售机构的操作</w:t>
      </w:r>
    </w:p>
    <w:p>
      <w:pPr>
        <w:pStyle w:val="46"/>
        <w:numPr>
          <w:ilvl w:val="0"/>
          <w:numId w:val="2"/>
        </w:numPr>
        <w:spacing w:line="360" w:lineRule="auto"/>
        <w:ind w:firstLineChars="0"/>
        <w:rPr>
          <w:bCs/>
          <w:sz w:val="24"/>
        </w:rPr>
      </w:pP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pPr>
        <w:pStyle w:val="46"/>
        <w:numPr>
          <w:ilvl w:val="0"/>
          <w:numId w:val="2"/>
        </w:numPr>
        <w:spacing w:line="360" w:lineRule="auto"/>
        <w:ind w:firstLineChars="0"/>
        <w:rPr>
          <w:bCs/>
          <w:sz w:val="24"/>
        </w:rPr>
      </w:pPr>
      <w:r>
        <w:rPr>
          <w:bCs/>
          <w:sz w:val="24"/>
        </w:rPr>
        <w:t>巨额赎回：指本基金</w:t>
      </w:r>
      <w:r>
        <w:rPr>
          <w:rFonts w:hint="eastAsia"/>
          <w:bCs/>
          <w:sz w:val="24"/>
        </w:rPr>
        <w:t>开放期内</w:t>
      </w:r>
      <w:r>
        <w:rPr>
          <w:bCs/>
          <w:sz w:val="24"/>
        </w:rPr>
        <w:t>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20%</w:t>
      </w:r>
    </w:p>
    <w:p>
      <w:pPr>
        <w:pStyle w:val="46"/>
        <w:numPr>
          <w:ilvl w:val="0"/>
          <w:numId w:val="2"/>
        </w:numPr>
        <w:spacing w:line="360" w:lineRule="auto"/>
        <w:ind w:firstLineChars="0"/>
        <w:rPr>
          <w:bCs/>
          <w:sz w:val="24"/>
        </w:rPr>
      </w:pPr>
      <w:r>
        <w:rPr>
          <w:bCs/>
          <w:sz w:val="24"/>
        </w:rPr>
        <w:t>元：指人民币元</w:t>
      </w:r>
    </w:p>
    <w:p>
      <w:pPr>
        <w:pStyle w:val="46"/>
        <w:numPr>
          <w:ilvl w:val="0"/>
          <w:numId w:val="2"/>
        </w:numPr>
        <w:spacing w:line="360" w:lineRule="auto"/>
        <w:ind w:firstLineChars="0"/>
        <w:rPr>
          <w:bCs/>
          <w:sz w:val="24"/>
        </w:rPr>
      </w:pPr>
      <w:r>
        <w:rPr>
          <w:bCs/>
          <w:sz w:val="24"/>
        </w:rPr>
        <w:t>基金收益：指基金投资所得债券利息、</w:t>
      </w:r>
      <w:r>
        <w:rPr>
          <w:rFonts w:hint="eastAsia" w:ascii="Arial" w:hAnsi="Arial" w:cs="Arial"/>
          <w:bCs/>
          <w:sz w:val="24"/>
        </w:rPr>
        <w:t>红利、股息、</w:t>
      </w:r>
      <w:r>
        <w:rPr>
          <w:bCs/>
          <w:sz w:val="24"/>
        </w:rPr>
        <w:t>买卖证券价差、银行存款利息、已实现的其他合法收入及因运用基金财产带来的成本和费用的节约</w:t>
      </w:r>
    </w:p>
    <w:p>
      <w:pPr>
        <w:pStyle w:val="46"/>
        <w:numPr>
          <w:ilvl w:val="0"/>
          <w:numId w:val="2"/>
        </w:numPr>
        <w:spacing w:line="360" w:lineRule="auto"/>
        <w:ind w:firstLineChars="0"/>
        <w:rPr>
          <w:bCs/>
          <w:sz w:val="24"/>
        </w:rPr>
      </w:pPr>
      <w:r>
        <w:rPr>
          <w:bCs/>
          <w:sz w:val="24"/>
        </w:rPr>
        <w:t>基金资产总值：指基金拥有的各类有价证券</w:t>
      </w:r>
      <w:r>
        <w:rPr>
          <w:rFonts w:hint="eastAsia"/>
          <w:bCs/>
          <w:sz w:val="24"/>
        </w:rPr>
        <w:t>及票据价值</w:t>
      </w:r>
      <w:r>
        <w:rPr>
          <w:bCs/>
          <w:sz w:val="24"/>
        </w:rPr>
        <w:t>、银行存款本息、基金应收款</w:t>
      </w:r>
      <w:r>
        <w:rPr>
          <w:rFonts w:hint="eastAsia"/>
          <w:bCs/>
          <w:sz w:val="24"/>
        </w:rPr>
        <w:t>项</w:t>
      </w:r>
      <w:r>
        <w:rPr>
          <w:bCs/>
          <w:sz w:val="24"/>
        </w:rPr>
        <w:t>及其他资产的价值总和</w:t>
      </w:r>
    </w:p>
    <w:p>
      <w:pPr>
        <w:pStyle w:val="46"/>
        <w:numPr>
          <w:ilvl w:val="0"/>
          <w:numId w:val="2"/>
        </w:numPr>
        <w:spacing w:line="360" w:lineRule="auto"/>
        <w:ind w:firstLineChars="0"/>
        <w:rPr>
          <w:bCs/>
          <w:sz w:val="24"/>
        </w:rPr>
      </w:pPr>
      <w:r>
        <w:rPr>
          <w:bCs/>
          <w:sz w:val="24"/>
        </w:rPr>
        <w:t>基金资产净值：指基金资产总值减去基金负债后的价值</w:t>
      </w:r>
    </w:p>
    <w:p>
      <w:pPr>
        <w:pStyle w:val="46"/>
        <w:numPr>
          <w:ilvl w:val="0"/>
          <w:numId w:val="2"/>
        </w:numPr>
        <w:spacing w:line="360" w:lineRule="auto"/>
        <w:ind w:firstLineChars="0"/>
        <w:rPr>
          <w:bCs/>
          <w:sz w:val="24"/>
        </w:rPr>
      </w:pPr>
      <w:r>
        <w:rPr>
          <w:bCs/>
          <w:sz w:val="24"/>
        </w:rPr>
        <w:t>基金份额净值：指计算日基金资产净值除以计算日基金份额总数</w:t>
      </w:r>
    </w:p>
    <w:p>
      <w:pPr>
        <w:pStyle w:val="46"/>
        <w:numPr>
          <w:ilvl w:val="0"/>
          <w:numId w:val="2"/>
        </w:numPr>
        <w:spacing w:line="360" w:lineRule="auto"/>
        <w:ind w:firstLineChars="0"/>
        <w:rPr>
          <w:bCs/>
          <w:sz w:val="24"/>
        </w:rPr>
      </w:pPr>
      <w:r>
        <w:rPr>
          <w:bCs/>
          <w:sz w:val="24"/>
        </w:rPr>
        <w:t>基金资产估值：指计算评估基金资产和负债的价值，以确定基金资产净值和基金份额净值的过程</w:t>
      </w:r>
    </w:p>
    <w:p>
      <w:pPr>
        <w:pStyle w:val="46"/>
        <w:numPr>
          <w:ilvl w:val="0"/>
          <w:numId w:val="2"/>
        </w:numPr>
        <w:spacing w:line="360" w:lineRule="auto"/>
        <w:ind w:firstLineChars="0"/>
        <w:rPr>
          <w:bCs/>
          <w:sz w:val="24"/>
        </w:rPr>
      </w:pPr>
      <w:r>
        <w:rPr>
          <w:rFonts w:hint="eastAsia"/>
          <w:bCs/>
          <w:sz w:val="24"/>
        </w:rPr>
        <w:t>规定媒介：指</w:t>
      </w:r>
      <w:r>
        <w:rPr>
          <w:bCs/>
          <w:sz w:val="24"/>
        </w:rPr>
        <w:t>符合</w:t>
      </w:r>
      <w:r>
        <w:rPr>
          <w:rFonts w:hint="eastAsia"/>
          <w:bCs/>
          <w:sz w:val="24"/>
        </w:rPr>
        <w:t>中国证监会</w:t>
      </w:r>
      <w:r>
        <w:rPr>
          <w:bCs/>
          <w:sz w:val="24"/>
        </w:rPr>
        <w:t>规定条件</w:t>
      </w:r>
      <w:r>
        <w:rPr>
          <w:rFonts w:hint="eastAsia"/>
          <w:bCs/>
          <w:sz w:val="24"/>
        </w:rPr>
        <w:t>的用以进行信息披露的全国性报刊及</w:t>
      </w:r>
      <w:r>
        <w:rPr>
          <w:bCs/>
          <w:sz w:val="24"/>
        </w:rPr>
        <w:t>《信息披露</w:t>
      </w:r>
      <w:r>
        <w:rPr>
          <w:rFonts w:hint="eastAsia"/>
          <w:bCs/>
          <w:sz w:val="24"/>
        </w:rPr>
        <w:t>办法</w:t>
      </w:r>
      <w:r>
        <w:rPr>
          <w:bCs/>
          <w:sz w:val="24"/>
        </w:rPr>
        <w:t>》规定的</w:t>
      </w:r>
      <w:r>
        <w:rPr>
          <w:rFonts w:hint="eastAsia"/>
          <w:bCs/>
          <w:sz w:val="24"/>
        </w:rPr>
        <w:t>互联网网站（包括基金管理人网站、基金托管人网站、中国证监会基金电子披露网站）等媒介</w:t>
      </w:r>
    </w:p>
    <w:p>
      <w:pPr>
        <w:pStyle w:val="46"/>
        <w:numPr>
          <w:ilvl w:val="0"/>
          <w:numId w:val="2"/>
        </w:numPr>
        <w:spacing w:line="360" w:lineRule="auto"/>
        <w:ind w:firstLineChars="0"/>
        <w:rPr>
          <w:bCs/>
          <w:sz w:val="24"/>
        </w:rPr>
      </w:pPr>
      <w:r>
        <w:rPr>
          <w:rFonts w:hint="eastAsia"/>
          <w:bCs/>
          <w:sz w:val="24"/>
        </w:rPr>
        <w:t>发起式基金：指符合中国证监会有关规定，基金</w:t>
      </w:r>
      <w:r>
        <w:rPr>
          <w:bCs/>
          <w:sz w:val="24"/>
        </w:rPr>
        <w:t>管理人在募集基金时</w:t>
      </w:r>
      <w:r>
        <w:rPr>
          <w:rFonts w:hint="eastAsia"/>
          <w:bCs/>
          <w:sz w:val="24"/>
        </w:rPr>
        <w:t>，由基金管理人、基金管理人股东、基金管理人的高级管理人员或基金经理等人员承诺认购发起</w:t>
      </w:r>
      <w:r>
        <w:rPr>
          <w:bCs/>
          <w:sz w:val="24"/>
        </w:rPr>
        <w:t>资金的金额不少于</w:t>
      </w:r>
      <w:r>
        <w:rPr>
          <w:rFonts w:hint="eastAsia"/>
          <w:bCs/>
          <w:sz w:val="24"/>
        </w:rPr>
        <w:t>一千万</w:t>
      </w:r>
      <w:r>
        <w:rPr>
          <w:bCs/>
          <w:sz w:val="24"/>
        </w:rPr>
        <w:t>元人民币，</w:t>
      </w:r>
      <w:r>
        <w:rPr>
          <w:rFonts w:hint="eastAsia"/>
          <w:bCs/>
          <w:sz w:val="24"/>
        </w:rPr>
        <w:t>且</w:t>
      </w:r>
      <w:r>
        <w:rPr>
          <w:bCs/>
          <w:sz w:val="24"/>
        </w:rPr>
        <w:t>发起资金认购的</w:t>
      </w:r>
      <w:r>
        <w:rPr>
          <w:rFonts w:hint="eastAsia"/>
          <w:bCs/>
          <w:sz w:val="24"/>
        </w:rPr>
        <w:t>基金</w:t>
      </w:r>
      <w:r>
        <w:rPr>
          <w:bCs/>
          <w:sz w:val="24"/>
        </w:rPr>
        <w:t>份额的</w:t>
      </w:r>
      <w:r>
        <w:rPr>
          <w:rFonts w:hint="eastAsia"/>
          <w:bCs/>
          <w:sz w:val="24"/>
        </w:rPr>
        <w:t>持有期限不少于三年的证券投资基金</w:t>
      </w:r>
    </w:p>
    <w:p>
      <w:pPr>
        <w:pStyle w:val="46"/>
        <w:numPr>
          <w:ilvl w:val="0"/>
          <w:numId w:val="2"/>
        </w:numPr>
        <w:spacing w:line="360" w:lineRule="auto"/>
        <w:ind w:firstLineChars="0"/>
        <w:rPr>
          <w:bCs/>
          <w:sz w:val="24"/>
        </w:rPr>
      </w:pPr>
      <w:r>
        <w:rPr>
          <w:rFonts w:hint="eastAsia"/>
          <w:bCs/>
          <w:sz w:val="24"/>
        </w:rPr>
        <w:t>发起资金：指用于认购发起式基金且来源于基金管理人的股东资金、基金管理人固有资金、基金管理人高级管理人员或基金经理（指基金管理人员工中依法具有基金经理资格者，包括但可能不限于本基金的基金经理，同时也可以包括基金经理之外公司投研人员）等人员的资金，发起资金的金额不少于一千万元人民币</w:t>
      </w:r>
    </w:p>
    <w:p>
      <w:pPr>
        <w:pStyle w:val="46"/>
        <w:numPr>
          <w:ilvl w:val="0"/>
          <w:numId w:val="2"/>
        </w:numPr>
        <w:spacing w:line="360" w:lineRule="auto"/>
        <w:ind w:firstLineChars="0"/>
        <w:rPr>
          <w:bCs/>
          <w:sz w:val="24"/>
        </w:rPr>
      </w:pPr>
      <w:r>
        <w:rPr>
          <w:rFonts w:hint="eastAsia"/>
          <w:bCs/>
          <w:sz w:val="24"/>
        </w:rPr>
        <w:t>发起资金提供方：以发起资金认购本基金且承诺以发起资金认购的基金份额持有期限不少于三年的基金管理人的股东、基金管理人、基金管理人的高级管理人员或基金经理等人员</w:t>
      </w:r>
    </w:p>
    <w:p>
      <w:pPr>
        <w:pStyle w:val="46"/>
        <w:numPr>
          <w:ilvl w:val="0"/>
          <w:numId w:val="2"/>
        </w:numPr>
        <w:spacing w:line="360" w:lineRule="auto"/>
        <w:ind w:firstLineChars="0"/>
        <w:rPr>
          <w:bCs/>
          <w:sz w:val="24"/>
        </w:rPr>
      </w:pP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pStyle w:val="46"/>
        <w:numPr>
          <w:ilvl w:val="0"/>
          <w:numId w:val="2"/>
        </w:numPr>
        <w:spacing w:line="360" w:lineRule="auto"/>
        <w:ind w:firstLineChars="0"/>
        <w:rPr>
          <w:bCs/>
          <w:sz w:val="24"/>
        </w:rPr>
      </w:pP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pStyle w:val="46"/>
        <w:numPr>
          <w:ilvl w:val="0"/>
          <w:numId w:val="2"/>
        </w:numPr>
        <w:spacing w:line="360" w:lineRule="auto"/>
        <w:ind w:firstLineChars="0"/>
        <w:rPr>
          <w:bCs/>
          <w:sz w:val="24"/>
        </w:rPr>
      </w:pP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pStyle w:val="46"/>
        <w:numPr>
          <w:ilvl w:val="0"/>
          <w:numId w:val="2"/>
        </w:numPr>
        <w:spacing w:line="360" w:lineRule="auto"/>
        <w:ind w:firstLineChars="0"/>
        <w:rPr>
          <w:bCs/>
          <w:sz w:val="24"/>
        </w:rPr>
      </w:pP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pStyle w:val="46"/>
        <w:numPr>
          <w:ilvl w:val="0"/>
          <w:numId w:val="2"/>
        </w:numPr>
        <w:spacing w:line="360" w:lineRule="auto"/>
        <w:ind w:firstLineChars="0"/>
        <w:rPr>
          <w:bCs/>
          <w:sz w:val="24"/>
        </w:rPr>
      </w:pPr>
      <w:r>
        <w:rPr>
          <w:rFonts w:hint="eastAsia"/>
          <w:bCs/>
          <w:sz w:val="24"/>
        </w:rPr>
        <w:t>不可抗力：指本基金合同当事人不能预见、不能避免且不能克服的客观事件</w:t>
      </w:r>
    </w:p>
    <w:p>
      <w:pPr>
        <w:pStyle w:val="2"/>
        <w:spacing w:before="0" w:after="0"/>
        <w:jc w:val="center"/>
        <w:rPr>
          <w:rFonts w:ascii="Times New Roman"/>
          <w:color w:val="auto"/>
          <w:sz w:val="30"/>
        </w:rPr>
      </w:pPr>
      <w:r>
        <w:rPr>
          <w:rFonts w:ascii="Times New Roman"/>
          <w:b w:val="0"/>
          <w:bCs/>
          <w:color w:val="auto"/>
        </w:rPr>
        <w:br w:type="page"/>
      </w:r>
      <w:bookmarkStart w:id="51" w:name="_Toc5246"/>
      <w:bookmarkStart w:id="52" w:name="_Toc519229399"/>
      <w:bookmarkStart w:id="53" w:name="_Toc13288"/>
      <w:bookmarkStart w:id="54" w:name="_Toc20627"/>
      <w:bookmarkStart w:id="55" w:name="_Toc6149"/>
      <w:bookmarkStart w:id="56" w:name="_Toc545"/>
      <w:bookmarkStart w:id="57" w:name="_Toc18631"/>
      <w:bookmarkStart w:id="58" w:name="_Toc6683"/>
      <w:bookmarkStart w:id="59" w:name="_Toc22708"/>
      <w:bookmarkStart w:id="60" w:name="_Toc24571"/>
      <w:bookmarkStart w:id="61" w:name="_Toc733"/>
      <w:bookmarkStart w:id="62" w:name="_Toc20318"/>
      <w:bookmarkStart w:id="63" w:name="_Toc258829400"/>
      <w:bookmarkStart w:id="64" w:name="_Toc233456272"/>
      <w:r>
        <w:rPr>
          <w:rFonts w:ascii="Times New Roman"/>
          <w:color w:val="auto"/>
          <w:sz w:val="30"/>
        </w:rPr>
        <w:t>第三部分  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bCs/>
          <w:sz w:val="24"/>
        </w:rPr>
      </w:pPr>
      <w:bookmarkStart w:id="66" w:name="_Hlt88031774"/>
      <w:bookmarkEnd w:id="66"/>
      <w:bookmarkStart w:id="67" w:name="_Hlt88031741"/>
    </w:p>
    <w:bookmarkEnd w:id="67"/>
    <w:p>
      <w:pPr>
        <w:spacing w:line="360" w:lineRule="auto"/>
        <w:ind w:firstLine="480" w:firstLineChars="200"/>
        <w:rPr>
          <w:bCs/>
          <w:sz w:val="24"/>
        </w:rPr>
      </w:pPr>
      <w:r>
        <w:rPr>
          <w:bCs/>
          <w:sz w:val="24"/>
        </w:rPr>
        <w:t>一、基金名称</w:t>
      </w:r>
      <w:bookmarkEnd w:id="65"/>
    </w:p>
    <w:p>
      <w:pPr>
        <w:spacing w:line="360" w:lineRule="auto"/>
        <w:ind w:firstLine="480" w:firstLineChars="200"/>
        <w:rPr>
          <w:bCs/>
          <w:sz w:val="24"/>
        </w:rPr>
      </w:pPr>
      <w:r>
        <w:rPr>
          <w:rFonts w:hint="eastAsia" w:ascii="宋体" w:hAnsi="宋体"/>
          <w:sz w:val="24"/>
        </w:rPr>
        <w:t>太平丰和一年定期开放债券型发起式证券投资基金</w:t>
      </w:r>
    </w:p>
    <w:p>
      <w:pPr>
        <w:spacing w:line="360" w:lineRule="auto"/>
        <w:ind w:firstLine="480" w:firstLineChars="200"/>
        <w:rPr>
          <w:bCs/>
          <w:sz w:val="24"/>
        </w:rPr>
      </w:pPr>
    </w:p>
    <w:p>
      <w:pPr>
        <w:spacing w:line="360" w:lineRule="auto"/>
        <w:ind w:firstLine="480" w:firstLineChars="200"/>
        <w:rPr>
          <w:bCs/>
          <w:sz w:val="24"/>
        </w:rPr>
      </w:pPr>
      <w:bookmarkStart w:id="68" w:name="_Toc79392574"/>
      <w:r>
        <w:rPr>
          <w:bCs/>
          <w:sz w:val="24"/>
        </w:rPr>
        <w:t>二、基金的类别</w:t>
      </w:r>
      <w:bookmarkEnd w:id="68"/>
    </w:p>
    <w:p>
      <w:pPr>
        <w:spacing w:line="360" w:lineRule="auto"/>
        <w:ind w:left="796" w:leftChars="257" w:hanging="256"/>
        <w:rPr>
          <w:bCs/>
          <w:sz w:val="24"/>
        </w:rPr>
      </w:pPr>
      <w:r>
        <w:rPr>
          <w:rFonts w:hint="eastAsia"/>
          <w:bCs/>
          <w:sz w:val="24"/>
        </w:rPr>
        <w:t>债券型</w:t>
      </w:r>
      <w:r>
        <w:rPr>
          <w:bCs/>
          <w:sz w:val="24"/>
        </w:rPr>
        <w:t>证券投资基金</w:t>
      </w:r>
    </w:p>
    <w:p>
      <w:pPr>
        <w:spacing w:line="360" w:lineRule="auto"/>
        <w:ind w:left="796" w:leftChars="257" w:hanging="256"/>
        <w:rPr>
          <w:bCs/>
          <w:sz w:val="24"/>
        </w:rPr>
      </w:pPr>
    </w:p>
    <w:p>
      <w:pPr>
        <w:spacing w:line="360" w:lineRule="auto"/>
        <w:ind w:firstLine="480" w:firstLineChars="200"/>
        <w:rPr>
          <w:bCs/>
          <w:sz w:val="24"/>
        </w:rPr>
      </w:pPr>
      <w:bookmarkStart w:id="69" w:name="_Toc79392575"/>
      <w:r>
        <w:rPr>
          <w:bCs/>
          <w:sz w:val="24"/>
        </w:rPr>
        <w:t>三、基金的运作方式</w:t>
      </w:r>
    </w:p>
    <w:p>
      <w:pPr>
        <w:spacing w:line="360" w:lineRule="auto"/>
        <w:ind w:firstLine="480" w:firstLineChars="200"/>
        <w:rPr>
          <w:bCs/>
          <w:sz w:val="24"/>
        </w:rPr>
      </w:pPr>
      <w:r>
        <w:rPr>
          <w:rFonts w:hint="eastAsia"/>
          <w:bCs/>
          <w:sz w:val="24"/>
        </w:rPr>
        <w:t>契约型、定期开放式</w:t>
      </w:r>
    </w:p>
    <w:p>
      <w:pPr>
        <w:spacing w:line="360" w:lineRule="auto"/>
        <w:ind w:firstLine="480" w:firstLineChars="200"/>
        <w:rPr>
          <w:bCs/>
          <w:sz w:val="24"/>
        </w:rPr>
      </w:pPr>
      <w:r>
        <w:rPr>
          <w:rFonts w:hint="eastAsia"/>
          <w:bCs/>
          <w:sz w:val="24"/>
        </w:rPr>
        <w:t>本基金以定期开放的方式运作，即采用封闭运作和开放运作交替循环的方式。</w:t>
      </w:r>
    </w:p>
    <w:p>
      <w:pPr>
        <w:spacing w:line="360" w:lineRule="auto"/>
        <w:ind w:firstLine="480" w:firstLineChars="200"/>
        <w:rPr>
          <w:bCs/>
          <w:sz w:val="24"/>
        </w:rPr>
      </w:pPr>
      <w:r>
        <w:rPr>
          <w:rFonts w:hint="eastAsia"/>
          <w:bCs/>
          <w:sz w:val="24"/>
        </w:rPr>
        <w:t>本基金首个封闭期为自基金合同生效日（含该日）起至基金合同生效日一年后的对应日（如该日为非工作日或无对应日期，则顺延至下一工作日）的前一日（含）之间的期间，之后的封闭期为每相邻两个开放期之间的期间。本基金在封闭期内不办理申购与赎回业务，也不上市交易。</w:t>
      </w:r>
    </w:p>
    <w:p>
      <w:pPr>
        <w:spacing w:line="360" w:lineRule="auto"/>
        <w:ind w:firstLine="480" w:firstLineChars="200"/>
        <w:rPr>
          <w:bCs/>
          <w:sz w:val="24"/>
        </w:rPr>
      </w:pPr>
      <w:r>
        <w:rPr>
          <w:rFonts w:hint="eastAsia"/>
          <w:bCs/>
          <w:sz w:val="24"/>
        </w:rPr>
        <w:t>除基金合同另有约定外，本基金自封闭期结束之日的下一个工作日（含）起进入开放期，期间开放办理申购、赎回等业务。开放期不少于1个工作日并且最长不超过20个工作日，具体期间由基金管理人在封闭期结束前公告说明。开放期内，本基金采取开放运作模式，投资人可办理基金份额申购、赎回或其他业务。开放期未赎回的份额将自动转入下一个封闭期。</w:t>
      </w:r>
    </w:p>
    <w:p>
      <w:pPr>
        <w:spacing w:line="360" w:lineRule="auto"/>
        <w:ind w:firstLine="480" w:firstLineChars="200"/>
        <w:rPr>
          <w:bCs/>
          <w:sz w:val="24"/>
        </w:rPr>
      </w:pPr>
      <w:r>
        <w:rPr>
          <w:rFonts w:hint="eastAsia"/>
          <w:bCs/>
          <w:sz w:val="24"/>
        </w:rPr>
        <w:t>如封闭期结束之后的第一个工作日因不可抗力或其他情形致使基金无法按时开放申购与赎回业务的，开放期自不可抗力或其他情形的影响因素消除之日起的下一个工作日开始。如在开放期内发生不可抗力或其他情形致使基金无法按时开放或需依据《基金合同》暂停申购与赎回业务的，基金管理人有权合理调整申购或赎回业务的办理期间并予以公告</w:t>
      </w:r>
      <w:r>
        <w:rPr>
          <w:rFonts w:hint="eastAsia" w:ascii="宋体"/>
          <w:kern w:val="0"/>
          <w:sz w:val="24"/>
        </w:rPr>
        <w:t>，在不可抗力或其他情形影响因素消除之日的下一个工作日起，</w:t>
      </w:r>
      <w:r>
        <w:rPr>
          <w:rFonts w:hint="eastAsia" w:ascii="宋体" w:cs="宋体"/>
          <w:kern w:val="0"/>
          <w:sz w:val="24"/>
        </w:rPr>
        <w:t>继续计算该开放期时间</w:t>
      </w:r>
      <w:r>
        <w:rPr>
          <w:rFonts w:hint="eastAsia"/>
          <w:bCs/>
          <w:sz w:val="24"/>
        </w:rPr>
        <w:t>。</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四</w:t>
      </w:r>
      <w:r>
        <w:rPr>
          <w:bCs/>
          <w:sz w:val="24"/>
        </w:rPr>
        <w:t>、基金的投资目标</w:t>
      </w:r>
      <w:bookmarkEnd w:id="69"/>
    </w:p>
    <w:p>
      <w:pPr>
        <w:spacing w:line="360" w:lineRule="auto"/>
        <w:ind w:firstLine="480" w:firstLineChars="200"/>
        <w:rPr>
          <w:bCs/>
          <w:sz w:val="24"/>
        </w:rPr>
      </w:pPr>
      <w:r>
        <w:rPr>
          <w:rFonts w:hint="eastAsia"/>
          <w:bCs/>
          <w:sz w:val="24"/>
        </w:rPr>
        <w:t>本基金在追求资产长期稳健增值的础上，力争为份额持有人创造超越业绩比较基准的稳定收益。</w:t>
      </w:r>
    </w:p>
    <w:p>
      <w:pPr>
        <w:spacing w:line="360" w:lineRule="auto"/>
        <w:ind w:left="796" w:leftChars="257" w:hanging="256"/>
        <w:rPr>
          <w:bCs/>
          <w:sz w:val="24"/>
        </w:rPr>
      </w:pPr>
    </w:p>
    <w:p>
      <w:pPr>
        <w:spacing w:line="360" w:lineRule="auto"/>
        <w:ind w:firstLine="480" w:firstLineChars="200"/>
        <w:rPr>
          <w:bCs/>
          <w:sz w:val="24"/>
        </w:rPr>
      </w:pPr>
      <w:bookmarkStart w:id="70" w:name="_Toc79392576"/>
      <w:r>
        <w:rPr>
          <w:rFonts w:hint="eastAsia"/>
          <w:bCs/>
          <w:sz w:val="24"/>
        </w:rPr>
        <w:t>五、基金的最低募集份额总额及金额</w:t>
      </w:r>
    </w:p>
    <w:p>
      <w:pPr>
        <w:spacing w:line="360" w:lineRule="auto"/>
        <w:ind w:firstLine="480" w:firstLineChars="200"/>
        <w:rPr>
          <w:bCs/>
          <w:sz w:val="24"/>
        </w:rPr>
      </w:pPr>
      <w:r>
        <w:rPr>
          <w:rFonts w:hint="eastAsia"/>
          <w:bCs/>
          <w:sz w:val="24"/>
        </w:rPr>
        <w:t>本基金募集份额总额不少于1,000万份，基金募集金额不少于1,000万元人民币，其中使用基金管理人股东资金、基金管理人固有资金、基金管理人的高级管理人员、基金经理等人员认购本基金的发起资金金额不少于1000万元人民币，且发起资金认购的基金份额持有期限不少于3年（基金合同生效不满3年提前终止的情况除外），其中，发起资金持有期限自基金合同生效之日起计算，法律法规或中国证监会另有规定的除外。</w:t>
      </w:r>
    </w:p>
    <w:p>
      <w:pPr>
        <w:spacing w:line="360" w:lineRule="auto"/>
        <w:ind w:firstLine="480" w:firstLineChars="200"/>
      </w:pPr>
      <w:r>
        <w:rPr>
          <w:rFonts w:hint="eastAsia"/>
          <w:bCs/>
          <w:sz w:val="24"/>
        </w:rPr>
        <w:t>本基金发起资金的认购情况见基金管理人届时发布的公告。</w:t>
      </w:r>
      <w:bookmarkEnd w:id="70"/>
    </w:p>
    <w:p>
      <w:pPr>
        <w:spacing w:line="360" w:lineRule="auto"/>
        <w:ind w:firstLine="480" w:firstLineChars="200"/>
        <w:rPr>
          <w:bCs/>
          <w:sz w:val="24"/>
        </w:rPr>
      </w:pPr>
    </w:p>
    <w:p>
      <w:pPr>
        <w:spacing w:line="360" w:lineRule="auto"/>
        <w:ind w:firstLine="480" w:firstLineChars="200"/>
        <w:rPr>
          <w:bCs/>
          <w:sz w:val="24"/>
        </w:rPr>
      </w:pPr>
      <w:bookmarkStart w:id="71" w:name="_Toc79392577"/>
      <w:r>
        <w:rPr>
          <w:rFonts w:hint="eastAsia"/>
          <w:bCs/>
          <w:sz w:val="24"/>
        </w:rPr>
        <w:t>六</w:t>
      </w:r>
      <w:r>
        <w:rPr>
          <w:bCs/>
          <w:sz w:val="24"/>
        </w:rPr>
        <w:t>、基金份额初始面值</w:t>
      </w:r>
      <w:bookmarkEnd w:id="71"/>
      <w:r>
        <w:rPr>
          <w:bCs/>
          <w:sz w:val="24"/>
        </w:rPr>
        <w:t>和认购费用</w:t>
      </w:r>
    </w:p>
    <w:p>
      <w:pPr>
        <w:spacing w:line="360" w:lineRule="auto"/>
        <w:ind w:firstLine="480"/>
        <w:rPr>
          <w:bCs/>
          <w:sz w:val="24"/>
        </w:rPr>
      </w:pPr>
      <w:r>
        <w:rPr>
          <w:bCs/>
          <w:sz w:val="24"/>
        </w:rPr>
        <w:t>本基金基金份额初始面值为人民币</w:t>
      </w:r>
      <w:r>
        <w:rPr>
          <w:rFonts w:hint="eastAsia"/>
          <w:bCs/>
          <w:sz w:val="24"/>
        </w:rPr>
        <w:t>1.00</w:t>
      </w:r>
      <w:r>
        <w:rPr>
          <w:bCs/>
          <w:sz w:val="24"/>
        </w:rPr>
        <w:t>元，</w:t>
      </w:r>
      <w:r>
        <w:rPr>
          <w:rFonts w:hint="eastAsia" w:ascii="Arial" w:hAnsi="Arial" w:cs="Arial"/>
          <w:bCs/>
          <w:sz w:val="24"/>
        </w:rPr>
        <w:t>按初始面值发售</w:t>
      </w:r>
      <w:r>
        <w:rPr>
          <w:bCs/>
          <w:sz w:val="24"/>
        </w:rPr>
        <w:t>。</w:t>
      </w:r>
    </w:p>
    <w:p>
      <w:pPr>
        <w:autoSpaceDE w:val="0"/>
        <w:autoSpaceDN w:val="0"/>
        <w:adjustRightInd w:val="0"/>
        <w:spacing w:line="360" w:lineRule="auto"/>
        <w:ind w:firstLine="480" w:firstLineChars="200"/>
        <w:jc w:val="left"/>
        <w:rPr>
          <w:bCs/>
          <w:sz w:val="24"/>
        </w:rPr>
      </w:pPr>
      <w:r>
        <w:rPr>
          <w:bCs/>
          <w:sz w:val="24"/>
        </w:rPr>
        <w:t>本基金认购费率按招募说明书</w:t>
      </w:r>
      <w:r>
        <w:rPr>
          <w:rFonts w:hint="eastAsia"/>
          <w:bCs/>
          <w:sz w:val="24"/>
        </w:rPr>
        <w:t>及</w:t>
      </w:r>
      <w:r>
        <w:rPr>
          <w:bCs/>
          <w:sz w:val="24"/>
        </w:rPr>
        <w:t>基金产品资料概要的规定执行。</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bookmarkStart w:id="72" w:name="_Toc79392578"/>
      <w:r>
        <w:rPr>
          <w:rFonts w:hint="eastAsia"/>
          <w:bCs/>
          <w:sz w:val="24"/>
        </w:rPr>
        <w:t>七</w:t>
      </w:r>
      <w:r>
        <w:rPr>
          <w:bCs/>
          <w:sz w:val="24"/>
        </w:rPr>
        <w:t>、基金存续期限</w:t>
      </w:r>
      <w:bookmarkEnd w:id="72"/>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八、其他事项</w:t>
      </w:r>
    </w:p>
    <w:p>
      <w:pPr>
        <w:spacing w:line="360" w:lineRule="auto"/>
        <w:ind w:firstLine="480" w:firstLineChars="200"/>
        <w:rPr>
          <w:bCs/>
          <w:sz w:val="24"/>
        </w:rPr>
      </w:pPr>
      <w:r>
        <w:rPr>
          <w:rFonts w:hint="eastAsia"/>
          <w:bCs/>
          <w:sz w:val="24"/>
        </w:rPr>
        <w:t>本基金单一投资者持有的基金份额或者构成一致行动人的多个投资者持有的基金份额可达到或者超过本基金总份额的50%，</w:t>
      </w:r>
      <w:r>
        <w:rPr>
          <w:bCs/>
          <w:sz w:val="24"/>
        </w:rPr>
        <w:t>本</w:t>
      </w:r>
      <w:r>
        <w:rPr>
          <w:rFonts w:hint="eastAsia"/>
          <w:bCs/>
          <w:sz w:val="24"/>
        </w:rPr>
        <w:t>基金不向个人投资者销售。</w:t>
      </w:r>
    </w:p>
    <w:p>
      <w:pPr>
        <w:pStyle w:val="2"/>
        <w:spacing w:before="0" w:after="0"/>
        <w:jc w:val="center"/>
        <w:rPr>
          <w:rFonts w:ascii="Times New Roman"/>
          <w:bCs/>
          <w:color w:val="auto"/>
          <w:kern w:val="44"/>
          <w:sz w:val="30"/>
          <w:szCs w:val="30"/>
        </w:rPr>
      </w:pPr>
      <w:r>
        <w:rPr>
          <w:rFonts w:ascii="Times New Roman"/>
          <w:b w:val="0"/>
          <w:bCs/>
          <w:color w:val="auto"/>
          <w:kern w:val="44"/>
          <w:sz w:val="21"/>
        </w:rPr>
        <w:br w:type="page"/>
      </w:r>
      <w:bookmarkStart w:id="73" w:name="_Toc22074"/>
      <w:bookmarkStart w:id="74" w:name="_Toc90742321"/>
      <w:bookmarkStart w:id="75" w:name="_Toc29784"/>
      <w:bookmarkStart w:id="76" w:name="_Toc29948"/>
      <w:bookmarkStart w:id="77" w:name="_Toc27189"/>
      <w:bookmarkStart w:id="78" w:name="_Toc15203"/>
      <w:bookmarkStart w:id="79" w:name="_Toc16265"/>
      <w:bookmarkStart w:id="80" w:name="_Toc90742688"/>
      <w:bookmarkStart w:id="81" w:name="_Toc27226"/>
      <w:bookmarkStart w:id="82" w:name="_Toc7151"/>
      <w:bookmarkStart w:id="83" w:name="_Toc3266"/>
      <w:bookmarkStart w:id="84" w:name="_Toc6714"/>
      <w:bookmarkStart w:id="85" w:name="_Toc90742390"/>
      <w:bookmarkStart w:id="86" w:name="_Toc24682"/>
      <w:bookmarkStart w:id="87" w:name="_Toc519229400"/>
      <w:r>
        <w:rPr>
          <w:rFonts w:hint="eastAsia" w:ascii="Times New Roman"/>
          <w:bCs/>
          <w:color w:val="auto"/>
          <w:kern w:val="44"/>
          <w:sz w:val="30"/>
          <w:szCs w:val="30"/>
        </w:rPr>
        <w:t>第四部分</w:t>
      </w:r>
      <w:r>
        <w:rPr>
          <w:rFonts w:ascii="Times New Roman"/>
          <w:bCs/>
          <w:color w:val="auto"/>
          <w:kern w:val="44"/>
          <w:sz w:val="30"/>
          <w:szCs w:val="30"/>
        </w:rPr>
        <w:t xml:space="preserve">  </w:t>
      </w:r>
      <w:r>
        <w:rPr>
          <w:rFonts w:hint="eastAsia" w:ascii="Times New Roman"/>
          <w:bCs/>
          <w:color w:val="auto"/>
          <w:kern w:val="44"/>
          <w:sz w:val="30"/>
          <w:szCs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rFonts w:hint="eastAsia" w:ascii="宋体"/>
          <w:kern w:val="0"/>
          <w:sz w:val="24"/>
        </w:rPr>
        <w:t>通过</w:t>
      </w:r>
      <w:r>
        <w:rPr>
          <w:bCs/>
          <w:sz w:val="24"/>
        </w:rPr>
        <w:t>各销售</w:t>
      </w:r>
      <w:r>
        <w:rPr>
          <w:rFonts w:hint="eastAsia" w:ascii="宋体"/>
          <w:kern w:val="0"/>
          <w:sz w:val="24"/>
        </w:rPr>
        <w:t>机构的</w:t>
      </w:r>
      <w:r>
        <w:rPr>
          <w:bCs/>
          <w:sz w:val="24"/>
        </w:rPr>
        <w:t>基金销售网</w:t>
      </w:r>
      <w:r>
        <w:rPr>
          <w:rFonts w:hint="eastAsia" w:ascii="宋体"/>
          <w:kern w:val="0"/>
          <w:sz w:val="24"/>
        </w:rPr>
        <w:t>点公开发售</w:t>
      </w:r>
      <w:r>
        <w:rPr>
          <w:bCs/>
          <w:sz w:val="24"/>
        </w:rPr>
        <w:t>，各销售机构的具体名单见基金份额发售公告以及基金管理人</w:t>
      </w:r>
      <w:r>
        <w:rPr>
          <w:rFonts w:hint="eastAsia"/>
          <w:bCs/>
          <w:sz w:val="24"/>
        </w:rPr>
        <w:t>网站</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符合法律法规规定的可投资于证券投资基金的机构投资者</w:t>
      </w:r>
      <w:r>
        <w:rPr>
          <w:rFonts w:hint="eastAsia"/>
          <w:bCs/>
          <w:sz w:val="24"/>
        </w:rPr>
        <w:t>、</w:t>
      </w:r>
      <w:r>
        <w:rPr>
          <w:bCs/>
          <w:sz w:val="24"/>
        </w:rPr>
        <w:t>合格境外机构投资者</w:t>
      </w:r>
      <w:r>
        <w:rPr>
          <w:rFonts w:hint="eastAsia"/>
          <w:bCs/>
          <w:sz w:val="24"/>
        </w:rPr>
        <w:t>、人民币合格境外机构投资者、发起资金提供方</w:t>
      </w:r>
      <w:r>
        <w:rPr>
          <w:bCs/>
          <w:sz w:val="24"/>
        </w:rPr>
        <w:t>以及法律法规或中国证监会允许购买证券投资基金的其他投资人</w:t>
      </w:r>
      <w:r>
        <w:rPr>
          <w:rFonts w:hint="eastAsia"/>
          <w:bCs/>
          <w:sz w:val="24"/>
        </w:rPr>
        <w:t>。本基金不向个人投资者销售。</w:t>
      </w:r>
    </w:p>
    <w:p>
      <w:pPr>
        <w:spacing w:line="360" w:lineRule="auto"/>
        <w:ind w:firstLine="480" w:firstLineChars="200"/>
        <w:rPr>
          <w:bCs/>
          <w:sz w:val="24"/>
        </w:rPr>
      </w:pP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rFonts w:hint="eastAsia"/>
          <w:bCs/>
          <w:sz w:val="24"/>
        </w:rPr>
        <w:t>本基金的认购费率由基金管理人决定，并在招募说明书及基金产品资料概要中列示，基金认购费用不列入基金财产。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该申请一定生效，而仅代表销售机构确实接收到认购申请。认购的确认以注册登记机构的确认结果为准。对于认购申请及认购份额的确认情况，投资人应及时查询并妥善行使合法权利。</w:t>
      </w:r>
    </w:p>
    <w:p>
      <w:pPr>
        <w:spacing w:line="360" w:lineRule="auto"/>
        <w:ind w:firstLine="480" w:firstLineChars="200"/>
        <w:rPr>
          <w:bCs/>
          <w:sz w:val="24"/>
        </w:rPr>
      </w:pP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4、本基金认购采取全额缴款认购的方式，基金投资者在募集期内可多次认购，认购费用按每笔认购申请单独计算</w:t>
      </w:r>
      <w:r>
        <w:rPr>
          <w:bCs/>
          <w:sz w:val="24"/>
        </w:rPr>
        <w:t>。</w:t>
      </w:r>
      <w:r>
        <w:rPr>
          <w:rFonts w:hint="eastAsia"/>
          <w:bCs/>
          <w:sz w:val="24"/>
        </w:rPr>
        <w:t>认购一旦被注册登记机构确认，就不再接受撤销申请。</w:t>
      </w:r>
    </w:p>
    <w:p>
      <w:pPr>
        <w:spacing w:line="360" w:lineRule="auto"/>
        <w:ind w:firstLine="480" w:firstLineChars="200"/>
        <w:rPr>
          <w:bCs/>
          <w:sz w:val="24"/>
        </w:rPr>
      </w:pPr>
    </w:p>
    <w:p>
      <w:pPr>
        <w:spacing w:line="360" w:lineRule="auto"/>
        <w:ind w:firstLine="480" w:firstLineChars="200"/>
        <w:rPr>
          <w:bCs/>
          <w:sz w:val="24"/>
        </w:rPr>
      </w:pPr>
      <w:r>
        <w:rPr>
          <w:bCs/>
          <w:sz w:val="24"/>
        </w:rPr>
        <w:t>四</w:t>
      </w:r>
      <w:r>
        <w:rPr>
          <w:rFonts w:hint="eastAsia"/>
          <w:bCs/>
          <w:sz w:val="24"/>
        </w:rPr>
        <w:t>、发起资金的认购</w:t>
      </w:r>
    </w:p>
    <w:p>
      <w:pPr>
        <w:spacing w:line="360" w:lineRule="auto"/>
        <w:ind w:firstLine="480" w:firstLineChars="200"/>
        <w:rPr>
          <w:bCs/>
          <w:sz w:val="24"/>
        </w:rPr>
      </w:pPr>
      <w:r>
        <w:rPr>
          <w:rFonts w:hint="eastAsia"/>
          <w:bCs/>
          <w:sz w:val="24"/>
        </w:rPr>
        <w:t>基金管理人股东资金、基金管理人固有资金、基金管理人的高级管理人员、基金经理等人员认购本基金的发起资金金额不少于1000万元人民币，且发起资金认购的基金份额持有期限不少于3年（基金合同生效不满3年提前终止的情况除外），其中，发起资金持有期限自基金合同生效之日起计算，法律法规或中国证监会另有规定的除外。</w:t>
      </w:r>
    </w:p>
    <w:p>
      <w:pPr>
        <w:ind w:firstLine="420"/>
        <w:rPr>
          <w:bCs/>
          <w:sz w:val="24"/>
        </w:rPr>
      </w:pPr>
      <w:r>
        <w:rPr>
          <w:rFonts w:hint="eastAsia"/>
          <w:bCs/>
          <w:sz w:val="24"/>
        </w:rPr>
        <w:t>本基金发起资金的认购情况见基金管理人届时发布的公告。</w:t>
      </w:r>
    </w:p>
    <w:p>
      <w:pPr>
        <w:pStyle w:val="2"/>
        <w:spacing w:before="0" w:after="0"/>
        <w:ind w:firstLine="405" w:firstLineChars="193"/>
        <w:jc w:val="center"/>
        <w:rPr>
          <w:rFonts w:ascii="Times New Roman"/>
          <w:b w:val="0"/>
          <w:bCs/>
          <w:color w:val="auto"/>
          <w:kern w:val="44"/>
          <w:sz w:val="21"/>
        </w:rPr>
      </w:pPr>
      <w:r>
        <w:rPr>
          <w:rFonts w:ascii="Times New Roman"/>
          <w:b w:val="0"/>
          <w:bCs/>
          <w:color w:val="auto"/>
          <w:kern w:val="44"/>
          <w:sz w:val="21"/>
        </w:rPr>
        <w:br w:type="page"/>
      </w:r>
      <w:bookmarkStart w:id="89" w:name="_Toc6559"/>
      <w:bookmarkStart w:id="90" w:name="_Toc14893"/>
      <w:bookmarkStart w:id="91" w:name="_Toc21988"/>
      <w:bookmarkStart w:id="92" w:name="_Toc7848"/>
      <w:bookmarkStart w:id="93" w:name="_Toc139991735"/>
      <w:bookmarkStart w:id="94" w:name="_Toc18329"/>
      <w:bookmarkStart w:id="95" w:name="_Toc18526"/>
      <w:bookmarkStart w:id="96" w:name="_Toc26986"/>
      <w:bookmarkStart w:id="97" w:name="_Toc17912"/>
      <w:bookmarkStart w:id="98" w:name="_Toc519229401"/>
      <w:bookmarkStart w:id="99" w:name="_Toc1823"/>
      <w:bookmarkStart w:id="100" w:name="_Toc4741"/>
      <w:bookmarkStart w:id="101" w:name="_Toc18797"/>
      <w:bookmarkStart w:id="102" w:name="_Toc141703885"/>
    </w:p>
    <w:p>
      <w:pPr>
        <w:pStyle w:val="2"/>
        <w:spacing w:before="0" w:after="0"/>
        <w:ind w:firstLine="581" w:firstLineChars="193"/>
        <w:jc w:val="center"/>
        <w:rPr>
          <w:rFonts w:ascii="Times New Roman"/>
          <w:color w:val="auto"/>
          <w:sz w:val="30"/>
        </w:rPr>
      </w:pPr>
      <w:r>
        <w:rPr>
          <w:rFonts w:ascii="Times New Roman"/>
          <w:color w:val="auto"/>
          <w:sz w:val="30"/>
        </w:rPr>
        <w:t>第五部分  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w:t>
      </w:r>
      <w:r>
        <w:rPr>
          <w:rFonts w:hint="eastAsia"/>
          <w:bCs/>
          <w:sz w:val="24"/>
        </w:rPr>
        <w:t>在发起资金提供方使用发起资金认购本基金的金额不少于1,000万元，且发起资金提供方承诺其认购的基金份额持有期限自基金合同生效之日起不少于3年的条件下</w:t>
      </w:r>
      <w:r>
        <w:rPr>
          <w:bCs/>
          <w:sz w:val="24"/>
        </w:rPr>
        <w:t>，基金</w:t>
      </w:r>
      <w:r>
        <w:rPr>
          <w:rFonts w:hint="eastAsia"/>
          <w:bCs/>
          <w:sz w:val="24"/>
        </w:rPr>
        <w:t>募集期届满或基金管理人</w:t>
      </w:r>
      <w:r>
        <w:rPr>
          <w:bCs/>
          <w:sz w:val="24"/>
        </w:rPr>
        <w:t>依据法律法规及招募说明书可以决定停止基金发售，并在</w:t>
      </w:r>
      <w:r>
        <w:rPr>
          <w:rFonts w:hint="eastAsia"/>
          <w:bCs/>
          <w:sz w:val="24"/>
        </w:rPr>
        <w:t>10</w:t>
      </w:r>
      <w:r>
        <w:rPr>
          <w:bCs/>
          <w:sz w:val="24"/>
        </w:rPr>
        <w:t>日内聘请法定验资机构验资</w:t>
      </w:r>
      <w:r>
        <w:rPr>
          <w:rFonts w:hint="eastAsia"/>
          <w:bCs/>
          <w:sz w:val="24"/>
        </w:rPr>
        <w:t>，</w:t>
      </w:r>
      <w:r>
        <w:rPr>
          <w:bCs/>
          <w:sz w:val="24"/>
        </w:rPr>
        <w:t>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jc w:val="left"/>
        <w:rPr>
          <w:bCs/>
          <w:sz w:val="24"/>
        </w:rPr>
      </w:pP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r>
        <w:rPr>
          <w:rFonts w:hint="eastAsia"/>
          <w:bCs/>
          <w:sz w:val="24"/>
        </w:rPr>
        <w:t>。</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pPr>
        <w:spacing w:line="360" w:lineRule="auto"/>
        <w:ind w:firstLine="480" w:firstLineChars="200"/>
        <w:rPr>
          <w:bCs/>
          <w:sz w:val="24"/>
        </w:rPr>
      </w:pPr>
      <w:r>
        <w:rPr>
          <w:bCs/>
          <w:sz w:val="24"/>
        </w:rPr>
        <w:t>3、如基金募集失败，基金管理人</w:t>
      </w:r>
      <w:r>
        <w:rPr>
          <w:rFonts w:hint="eastAsia"/>
          <w:bCs/>
          <w:sz w:val="24"/>
        </w:rPr>
        <w:t>、基金托管人</w:t>
      </w:r>
      <w:r>
        <w:rPr>
          <w:bCs/>
          <w:sz w:val="24"/>
        </w:rPr>
        <w:t>及</w:t>
      </w:r>
      <w:r>
        <w:rPr>
          <w:rFonts w:hint="eastAsia"/>
          <w:bCs/>
          <w:sz w:val="24"/>
        </w:rPr>
        <w:t>销售</w:t>
      </w:r>
      <w:r>
        <w:rPr>
          <w:bCs/>
          <w:sz w:val="24"/>
        </w:rPr>
        <w:t>机构不得请求报酬。基金管理人</w:t>
      </w:r>
      <w:r>
        <w:rPr>
          <w:rFonts w:hint="eastAsia"/>
          <w:bCs/>
          <w:sz w:val="24"/>
        </w:rPr>
        <w:t>、基金托管人</w:t>
      </w:r>
      <w:r>
        <w:rPr>
          <w:bCs/>
          <w:sz w:val="24"/>
        </w:rPr>
        <w:t>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rFonts w:hint="eastAsia"/>
          <w:bCs/>
          <w:sz w:val="24"/>
        </w:rPr>
        <w:t>《基金合同》生效之日起三年后的对应日，若基金资产</w:t>
      </w:r>
      <w:r>
        <w:rPr>
          <w:bCs/>
          <w:sz w:val="24"/>
        </w:rPr>
        <w:t>净值</w:t>
      </w:r>
      <w:r>
        <w:rPr>
          <w:rFonts w:hint="eastAsia"/>
          <w:bCs/>
          <w:sz w:val="24"/>
        </w:rPr>
        <w:t>低于2亿元，本《基金合同》将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pPr>
        <w:spacing w:line="360" w:lineRule="auto"/>
        <w:ind w:firstLine="480" w:firstLineChars="200"/>
        <w:rPr>
          <w:bCs/>
          <w:sz w:val="24"/>
        </w:rPr>
      </w:pPr>
      <w:r>
        <w:rPr>
          <w:rFonts w:hint="eastAsia"/>
          <w:bCs/>
          <w:sz w:val="24"/>
        </w:rPr>
        <w:t>基金合同生效三年后继续存续的，基金存续期内，连续二十个工作日出现基金份额持有人数量不满二百人或者基金资产净值低于五千万元情形的，基金管理人应当在定期报告中予以披露；连续六十个工作日出现前述情形的，基金管理人应当在</w:t>
      </w:r>
      <w:r>
        <w:rPr>
          <w:bCs/>
          <w:sz w:val="24"/>
        </w:rPr>
        <w:t>10</w:t>
      </w:r>
      <w:r>
        <w:rPr>
          <w:rFonts w:hint="eastAsia"/>
          <w:bCs/>
          <w:sz w:val="24"/>
        </w:rPr>
        <w:t xml:space="preserve">个工作日内向中国证监会报告并提出解决方案，包括持续运作、转换运作方式、与其他基金合并或者终止基金合同等，如转换运作方式、与其他基金合并或者终止基金合同等的，应在六个月内召开基金份额持有人大会进行表决。 </w:t>
      </w:r>
    </w:p>
    <w:p>
      <w:pPr>
        <w:spacing w:line="360" w:lineRule="auto"/>
        <w:ind w:firstLine="480" w:firstLineChars="200"/>
        <w:rPr>
          <w:bCs/>
          <w:sz w:val="24"/>
        </w:rPr>
      </w:pPr>
      <w:r>
        <w:rPr>
          <w:rFonts w:hint="eastAsia"/>
          <w:bCs/>
          <w:sz w:val="24"/>
        </w:rPr>
        <w:t>法律法规或监管机构另有规定时，从其规定</w:t>
      </w:r>
      <w:bookmarkStart w:id="103" w:name="_Toc17244"/>
      <w:bookmarkStart w:id="104" w:name="_Toc79392606"/>
      <w:bookmarkStart w:id="105" w:name="_Toc10463"/>
      <w:bookmarkStart w:id="106" w:name="_Toc23822"/>
      <w:bookmarkStart w:id="107" w:name="_Toc11081"/>
      <w:bookmarkStart w:id="108" w:name="_Toc139991736"/>
      <w:bookmarkStart w:id="109" w:name="_Toc123102453"/>
      <w:bookmarkStart w:id="110" w:name="_Toc7920"/>
      <w:bookmarkStart w:id="111" w:name="_Toc1270"/>
      <w:bookmarkStart w:id="112" w:name="_Toc4003"/>
      <w:bookmarkStart w:id="113" w:name="_Toc123112234"/>
      <w:bookmarkStart w:id="114" w:name="_Toc141703886"/>
      <w:bookmarkStart w:id="115" w:name="_Toc20733"/>
      <w:bookmarkStart w:id="116" w:name="_Toc98560352"/>
      <w:bookmarkStart w:id="117" w:name="_Toc610"/>
      <w:bookmarkStart w:id="118" w:name="_Toc23261"/>
      <w:bookmarkStart w:id="119" w:name="_Toc123051452"/>
      <w:bookmarkStart w:id="120" w:name="_Toc48649707"/>
      <w:bookmarkStart w:id="121" w:name="_Toc1427"/>
      <w:r>
        <w:rPr>
          <w:rFonts w:hint="eastAsia"/>
          <w:bCs/>
          <w:sz w:val="24"/>
        </w:rPr>
        <w:t>。</w:t>
      </w:r>
    </w:p>
    <w:p>
      <w:pPr>
        <w:spacing w:line="360" w:lineRule="auto"/>
        <w:ind w:firstLine="480" w:firstLineChars="200"/>
        <w:rPr>
          <w:bCs/>
          <w:sz w:val="24"/>
        </w:rPr>
      </w:pPr>
    </w:p>
    <w:p>
      <w:pPr>
        <w:rPr>
          <w:bCs/>
          <w:sz w:val="24"/>
        </w:rPr>
      </w:pPr>
    </w:p>
    <w:p>
      <w:pPr>
        <w:pStyle w:val="2"/>
        <w:spacing w:before="0" w:after="0"/>
        <w:jc w:val="center"/>
        <w:rPr>
          <w:rFonts w:ascii="Times New Roman"/>
          <w:color w:val="auto"/>
          <w:sz w:val="30"/>
        </w:rPr>
      </w:pPr>
      <w:r>
        <w:rPr>
          <w:b w:val="0"/>
          <w:bCs/>
          <w:kern w:val="44"/>
        </w:rPr>
        <w:br w:type="page"/>
      </w:r>
      <w:bookmarkStart w:id="122" w:name="_Toc519229402"/>
      <w:r>
        <w:rPr>
          <w:rFonts w:ascii="Times New Roman"/>
          <w:color w:val="auto"/>
          <w:sz w:val="30"/>
        </w:rPr>
        <w:t>第</w:t>
      </w:r>
      <w:r>
        <w:rPr>
          <w:rFonts w:hint="eastAsia" w:ascii="Times New Roman"/>
          <w:color w:val="auto"/>
          <w:sz w:val="30"/>
        </w:rPr>
        <w:t>六</w:t>
      </w:r>
      <w:r>
        <w:rPr>
          <w:rFonts w:ascii="Times New Roman"/>
          <w:color w:val="auto"/>
          <w:sz w:val="30"/>
        </w:rPr>
        <w:t>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本基金的申购与赎回将通过销售机构进行。具体的销售机构将由基金管理人在招募说明书</w:t>
      </w:r>
      <w:r>
        <w:rPr>
          <w:rFonts w:hint="eastAsia"/>
          <w:bCs/>
          <w:sz w:val="24"/>
        </w:rPr>
        <w:t>或其</w:t>
      </w:r>
      <w:r>
        <w:rPr>
          <w:bCs/>
          <w:sz w:val="24"/>
        </w:rPr>
        <w:t>网站列明。基金管理人可根据情况变更或增减销售机构，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rFonts w:ascii="Arial" w:hAnsi="Arial" w:cs="Arial"/>
          <w:bCs/>
        </w:rPr>
      </w:pPr>
      <w:r>
        <w:rPr>
          <w:rFonts w:hint="eastAsia" w:ascii="Arial" w:hAnsi="Arial" w:cs="Arial"/>
          <w:bCs/>
          <w:sz w:val="24"/>
        </w:rPr>
        <w:t>若基金管理人或其指定的销售机构开通电话、传真或网上等交易方式，投资人可以通过上述方式进行基金份额的申购与赎回。具体办法由基金管理人或相关销售机构另行公告。</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投资人办理基金份额申购和赎回的开放日为开放期内的每个工作日，本基金每个开放期的具体时间以基金管理人届时公告为准。</w:t>
      </w:r>
    </w:p>
    <w:p>
      <w:pPr>
        <w:spacing w:line="360" w:lineRule="auto"/>
        <w:ind w:firstLine="480" w:firstLineChars="200"/>
        <w:rPr>
          <w:bCs/>
          <w:sz w:val="24"/>
        </w:rPr>
      </w:pPr>
      <w:r>
        <w:rPr>
          <w:rFonts w:hint="eastAsia"/>
          <w:bCs/>
          <w:sz w:val="24"/>
        </w:rPr>
        <w:t>本基金开放期内，</w:t>
      </w:r>
      <w:r>
        <w:rPr>
          <w:bCs/>
          <w:sz w:val="24"/>
        </w:rPr>
        <w:t>投资人在开放日办理基金份额的申购和赎回，具体办理时间为上海证券交易所、深圳证券交易所</w:t>
      </w:r>
      <w:r>
        <w:rPr>
          <w:rFonts w:ascii="Arial" w:hAnsi="Arial" w:cs="Arial"/>
          <w:bCs/>
          <w:sz w:val="24"/>
        </w:rPr>
        <w:t>及</w:t>
      </w:r>
      <w:r>
        <w:rPr>
          <w:rFonts w:hint="eastAsia" w:ascii="Arial" w:hAnsi="Arial" w:cs="Arial"/>
          <w:bCs/>
          <w:sz w:val="24"/>
        </w:rPr>
        <w:t>相关</w:t>
      </w:r>
      <w:r>
        <w:rPr>
          <w:rFonts w:ascii="Arial" w:hAnsi="Arial" w:cs="Arial"/>
          <w:bCs/>
          <w:sz w:val="24"/>
        </w:rPr>
        <w:t>金融期货</w:t>
      </w:r>
      <w:r>
        <w:rPr>
          <w:rFonts w:hint="eastAsia" w:ascii="Arial" w:hAnsi="Arial" w:cs="Arial"/>
          <w:bCs/>
          <w:sz w:val="24"/>
        </w:rPr>
        <w:t>交易所</w:t>
      </w:r>
      <w:r>
        <w:rPr>
          <w:bCs/>
          <w:sz w:val="24"/>
        </w:rPr>
        <w:t>的正常交易日的交易时间，但基金管理人根据法律法规、中国证监会的要求或本基金合同的规定公告暂停申购、赎回时除外。</w:t>
      </w:r>
      <w:r>
        <w:rPr>
          <w:rFonts w:hint="eastAsia"/>
          <w:bCs/>
          <w:sz w:val="24"/>
        </w:rPr>
        <w:t>在封闭期内，本基金不办理申购与赎回等业务，也不上市交易。</w:t>
      </w:r>
    </w:p>
    <w:p>
      <w:pPr>
        <w:spacing w:line="360" w:lineRule="auto"/>
        <w:ind w:firstLine="480" w:firstLineChars="20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rFonts w:ascii="宋体"/>
          <w:kern w:val="0"/>
          <w:sz w:val="24"/>
        </w:rPr>
      </w:pPr>
      <w:r>
        <w:rPr>
          <w:rFonts w:hint="eastAsia" w:ascii="宋体"/>
          <w:kern w:val="0"/>
          <w:sz w:val="24"/>
        </w:rPr>
        <w:t>本基金首个封闭期为自基金合同生效日（含该日）起至基金合同生效日一年后的对应日（如该日为非工作日或无对应日期，则顺延至下一工作日）的前一日（含）之间的期间，之后的封闭期为每相邻两个开放期之间的期间。本基金在封闭期内不办理申购与赎回业务，也不上市交易。</w:t>
      </w:r>
    </w:p>
    <w:p>
      <w:pPr>
        <w:spacing w:line="360" w:lineRule="auto"/>
        <w:ind w:firstLine="480" w:firstLineChars="200"/>
        <w:rPr>
          <w:rFonts w:ascii="宋体"/>
          <w:kern w:val="0"/>
          <w:sz w:val="24"/>
        </w:rPr>
      </w:pPr>
      <w:r>
        <w:rPr>
          <w:rFonts w:hint="eastAsia" w:ascii="宋体"/>
          <w:kern w:val="0"/>
          <w:sz w:val="24"/>
        </w:rPr>
        <w:t>本基金自封闭期结束之日的下一个工作日（含）起进入开放期，期间开放办理申购、赎回等业务。开放期不少于1个工作日并且最长不超过20个工作日，具体期间由基金管理人在封闭期结束前公告说明。</w:t>
      </w:r>
    </w:p>
    <w:p>
      <w:pPr>
        <w:spacing w:line="360" w:lineRule="auto"/>
        <w:ind w:firstLine="480" w:firstLineChars="200"/>
        <w:rPr>
          <w:rFonts w:ascii="宋体" w:cs="宋体"/>
          <w:kern w:val="0"/>
          <w:sz w:val="24"/>
        </w:rPr>
      </w:pPr>
      <w:r>
        <w:rPr>
          <w:rFonts w:hint="eastAsia"/>
          <w:bCs/>
          <w:sz w:val="24"/>
        </w:rPr>
        <w:t>如封闭期结束之后的第一个工作日因不可抗力或其他情形致使基金无法按时开放申购与赎回业务的，开放期自不可抗力或其他情形的影响因素消除之日起的下一个工作日开始。</w:t>
      </w:r>
      <w:r>
        <w:rPr>
          <w:rFonts w:hint="eastAsia" w:ascii="宋体"/>
          <w:kern w:val="0"/>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的下一个工作日起，</w:t>
      </w:r>
      <w:r>
        <w:rPr>
          <w:rFonts w:hint="eastAsia" w:ascii="宋体" w:cs="宋体"/>
          <w:kern w:val="0"/>
          <w:sz w:val="24"/>
        </w:rPr>
        <w:t>继续计算该开放期时间。</w:t>
      </w:r>
    </w:p>
    <w:p>
      <w:pPr>
        <w:spacing w:line="360" w:lineRule="auto"/>
        <w:ind w:firstLine="480" w:firstLineChars="200"/>
        <w:rPr>
          <w:rFonts w:ascii="宋体" w:cs="宋体"/>
          <w:kern w:val="0"/>
          <w:sz w:val="24"/>
        </w:rPr>
      </w:pPr>
      <w:r>
        <w:rPr>
          <w:rFonts w:hint="eastAsia" w:ascii="宋体" w:cs="宋体"/>
          <w:kern w:val="0"/>
          <w:sz w:val="24"/>
        </w:rPr>
        <w:t>基金管理人应在每个开放期前依照《信息披露办法》的有关规定在规定媒介上公告申购与赎回的开始时间。</w:t>
      </w:r>
    </w:p>
    <w:p>
      <w:pPr>
        <w:spacing w:line="360" w:lineRule="auto"/>
        <w:ind w:firstLine="480" w:firstLineChars="200"/>
        <w:rPr>
          <w:rFonts w:ascii="宋体" w:cs="宋体"/>
          <w:kern w:val="0"/>
          <w:sz w:val="24"/>
        </w:rPr>
      </w:pPr>
      <w:r>
        <w:rPr>
          <w:rFonts w:hint="eastAsia" w:ascii="宋体" w:cs="宋体"/>
          <w:kern w:val="0"/>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该开放期下一开放日基金份额申购、赎回的价格；但若投资人在开放期最后一日业务办理时间结束之后提出申购、赎回或者转换申请的，视为无效申请。</w:t>
      </w:r>
    </w:p>
    <w:p>
      <w:pPr>
        <w:spacing w:line="360" w:lineRule="auto"/>
        <w:ind w:firstLine="480" w:firstLineChars="200"/>
        <w:rPr>
          <w:sz w:val="24"/>
        </w:rPr>
      </w:pPr>
      <w:r>
        <w:rPr>
          <w:rFonts w:hint="eastAsia" w:ascii="宋体" w:cs="宋体"/>
          <w:kern w:val="0"/>
          <w:sz w:val="24"/>
        </w:rPr>
        <w:t>开放期以及开放期办理申购与赎回业务的具体事宜见招募说明书及基金管理人届时发布的相关</w:t>
      </w:r>
      <w:r>
        <w:rPr>
          <w:rFonts w:hint="eastAsia"/>
          <w:sz w:val="24"/>
        </w:rPr>
        <w:t>公告。</w:t>
      </w:r>
    </w:p>
    <w:p>
      <w:pPr>
        <w:spacing w:line="360" w:lineRule="auto"/>
        <w:ind w:firstLine="480" w:firstLineChars="200"/>
        <w:rPr>
          <w:sz w:val="24"/>
        </w:rPr>
      </w:pPr>
      <w:r>
        <w:rPr>
          <w:sz w:val="24"/>
        </w:rPr>
        <w:t>三、申购与赎回的原则</w:t>
      </w:r>
    </w:p>
    <w:p>
      <w:pPr>
        <w:spacing w:line="360" w:lineRule="auto"/>
        <w:ind w:firstLine="480" w:firstLineChars="200"/>
        <w:rPr>
          <w:sz w:val="24"/>
        </w:rPr>
      </w:pPr>
      <w:r>
        <w:rPr>
          <w:sz w:val="24"/>
        </w:rPr>
        <w:t>1</w:t>
      </w:r>
      <w:r>
        <w:rPr>
          <w:rFonts w:hint="eastAsia"/>
          <w:sz w:val="24"/>
        </w:rPr>
        <w:t>、</w:t>
      </w:r>
      <w:r>
        <w:rPr>
          <w:sz w:val="24"/>
        </w:rPr>
        <w:t>“未知价”原则，即</w:t>
      </w:r>
      <w:r>
        <w:rPr>
          <w:rFonts w:hint="eastAsia"/>
          <w:bCs/>
          <w:sz w:val="24"/>
        </w:rPr>
        <w:t>开放期内本基金的</w:t>
      </w:r>
      <w:r>
        <w:rPr>
          <w:sz w:val="24"/>
        </w:rPr>
        <w:t>申购、赎回价格以申请当日收市后计算的基金份额净值为基准进行计算；</w:t>
      </w:r>
    </w:p>
    <w:p>
      <w:pPr>
        <w:spacing w:line="360" w:lineRule="auto"/>
        <w:ind w:firstLine="480" w:firstLineChars="200"/>
        <w:rPr>
          <w:sz w:val="24"/>
        </w:rPr>
      </w:pPr>
      <w:r>
        <w:rPr>
          <w:sz w:val="24"/>
        </w:rPr>
        <w:t>2</w:t>
      </w:r>
      <w:r>
        <w:rPr>
          <w:rFonts w:hint="eastAsia"/>
          <w:sz w:val="24"/>
        </w:rPr>
        <w:t>、</w:t>
      </w:r>
      <w:r>
        <w:rPr>
          <w:sz w:val="24"/>
        </w:rPr>
        <w:t>“金额申购、份额赎回”原则，即申购以金额申请，赎回以份额申请；</w:t>
      </w:r>
    </w:p>
    <w:p>
      <w:pPr>
        <w:spacing w:line="360" w:lineRule="auto"/>
        <w:ind w:firstLine="480" w:firstLineChars="200"/>
        <w:rPr>
          <w:sz w:val="24"/>
        </w:rPr>
      </w:pPr>
      <w:r>
        <w:rPr>
          <w:sz w:val="24"/>
        </w:rPr>
        <w:t>3</w:t>
      </w:r>
      <w:r>
        <w:rPr>
          <w:rFonts w:hint="eastAsia"/>
          <w:sz w:val="24"/>
        </w:rPr>
        <w:t>、</w:t>
      </w:r>
      <w:r>
        <w:rPr>
          <w:sz w:val="24"/>
        </w:rPr>
        <w:t>当日的申购与赎回申请可以在基金管理人规定的时间以内撤销；</w:t>
      </w:r>
    </w:p>
    <w:p>
      <w:pPr>
        <w:spacing w:line="360" w:lineRule="auto"/>
        <w:ind w:firstLine="480" w:firstLineChars="200"/>
        <w:rPr>
          <w:bCs/>
          <w:sz w:val="24"/>
        </w:rPr>
      </w:pPr>
      <w:r>
        <w:rPr>
          <w:sz w:val="24"/>
        </w:rPr>
        <w:t>4</w:t>
      </w:r>
      <w:r>
        <w:rPr>
          <w:rFonts w:hint="eastAsia"/>
          <w:sz w:val="24"/>
        </w:rPr>
        <w:t>、</w:t>
      </w:r>
      <w:r>
        <w:rPr>
          <w:sz w:val="24"/>
        </w:rPr>
        <w:t>赎回遵循“先进先出”原则，即按照投资人</w:t>
      </w:r>
      <w:r>
        <w:rPr>
          <w:bCs/>
          <w:sz w:val="24"/>
        </w:rPr>
        <w:t>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5、办理申购、赎回业务时，应当遵循基金份额持有人利益优先原则，确保投资者的合法权益不受损害并得到公平对待。</w:t>
      </w:r>
    </w:p>
    <w:p>
      <w:pPr>
        <w:spacing w:line="360" w:lineRule="auto"/>
        <w:ind w:firstLine="480" w:firstLineChars="200"/>
        <w:rPr>
          <w:bCs/>
        </w:rPr>
      </w:pPr>
      <w:r>
        <w:rPr>
          <w:bCs/>
          <w:sz w:val="24"/>
        </w:rPr>
        <w:t>基金管理人可在法律法规允许</w:t>
      </w:r>
      <w:r>
        <w:rPr>
          <w:rFonts w:hint="eastAsia"/>
          <w:bCs/>
          <w:sz w:val="24"/>
        </w:rPr>
        <w:t>且在对基金份额持有人利益无实质性不利影响</w:t>
      </w:r>
      <w:r>
        <w:rPr>
          <w:bCs/>
          <w:sz w:val="24"/>
        </w:rPr>
        <w:t>的情况下，对上述原则进行调整。基金管理人必须在新规则开始实施前依照《信息披露办法》的有关规定在规定媒介上公告。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pPr>
        <w:spacing w:line="360" w:lineRule="auto"/>
        <w:ind w:firstLine="480" w:firstLineChars="200"/>
        <w:rPr>
          <w:bCs/>
          <w:sz w:val="24"/>
        </w:rPr>
      </w:pP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日(包括该日)内支付赎回款项。在发生巨额赎回时，款项的支付办法参照本基金合同有关条款处理。</w:t>
      </w:r>
      <w:r>
        <w:rPr>
          <w:rFonts w:hint="eastAsia"/>
          <w:bCs/>
          <w:sz w:val="24"/>
        </w:rPr>
        <w:t>遇证券／期货交易所或交易市场数据传输延迟、通讯系统故障、银行数据交换系统故障或其他非基金管理人及基金托管人所能控制的因素影响业务处理流程，则赎回款项划付时间相应顺延。</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可</w:t>
      </w:r>
      <w:r>
        <w:rPr>
          <w:bCs/>
          <w:sz w:val="24"/>
        </w:rPr>
        <w:t>在T+</w:t>
      </w:r>
      <w:r>
        <w:rPr>
          <w:rFonts w:hint="eastAsia"/>
          <w:bCs/>
          <w:sz w:val="24"/>
        </w:rPr>
        <w:t>2</w:t>
      </w:r>
      <w:r>
        <w:rPr>
          <w:bCs/>
          <w:sz w:val="24"/>
        </w:rPr>
        <w:t>日后(包括该日)到销售网点柜台或以销售机构规定的其他方式查询申请的确认情况。</w:t>
      </w:r>
    </w:p>
    <w:p>
      <w:pPr>
        <w:spacing w:line="360" w:lineRule="auto"/>
        <w:ind w:firstLine="480" w:firstLineChars="200"/>
        <w:rPr>
          <w:bCs/>
          <w:sz w:val="24"/>
        </w:rPr>
      </w:pPr>
      <w:r>
        <w:rPr>
          <w:rFonts w:hint="eastAsia"/>
          <w:bCs/>
          <w:sz w:val="24"/>
        </w:rPr>
        <w:t>基金销售机构对申购、赎回申请的受理并不代表申请一定</w:t>
      </w:r>
      <w:r>
        <w:rPr>
          <w:bCs/>
          <w:sz w:val="24"/>
        </w:rPr>
        <w:t>生效</w:t>
      </w:r>
      <w:r>
        <w:rPr>
          <w:rFonts w:hint="eastAsia"/>
          <w:bCs/>
          <w:sz w:val="24"/>
        </w:rPr>
        <w:t>，而仅代表销售机构确实接收到申请。申购、赎回申请的确认以登记机构的确认结果为准。对于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pPr>
        <w:spacing w:line="360" w:lineRule="auto"/>
        <w:ind w:firstLine="480" w:firstLineChars="200"/>
        <w:rPr>
          <w:bCs/>
          <w:sz w:val="24"/>
        </w:rPr>
      </w:pPr>
      <w:r>
        <w:rPr>
          <w:rFonts w:hint="eastAsia"/>
          <w:bCs/>
          <w:sz w:val="24"/>
        </w:rPr>
        <w:t>在法律法规允许的范围内，基金管理人或登记机构可根据相关业务规则，对上述业务办理时间进行调整，本基金管理人将于调整实施前按照有关规定予以公告。</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基金管理人可在法律法规允许的情况下，调整上述规定申购金额和赎回份额的数量限制。基金管理人必须在调整前依照《信息披露办法》的有关规定在规定媒介上公告。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位四舍五入，由此产生的收益或损失由基金财产承担。T日的基金份额净值在当天收市后计算，</w:t>
      </w:r>
      <w:r>
        <w:rPr>
          <w:rFonts w:hint="eastAsia"/>
          <w:bCs/>
          <w:sz w:val="24"/>
        </w:rPr>
        <w:t>在基金封闭期内，基金管理人至少每周公告一次基金份额净值；在基金开放期内，T日的基金份额净值应在T+1日内公告</w:t>
      </w:r>
      <w:r>
        <w:rPr>
          <w:bCs/>
          <w:sz w:val="24"/>
        </w:rPr>
        <w:t>。遇特殊情况，</w:t>
      </w:r>
      <w:r>
        <w:rPr>
          <w:rFonts w:hint="eastAsia"/>
          <w:bCs/>
          <w:sz w:val="24"/>
        </w:rPr>
        <w:t>经履行适当程序</w:t>
      </w:r>
      <w:r>
        <w:rPr>
          <w:bCs/>
          <w:sz w:val="24"/>
        </w:rPr>
        <w:t>，可以适当延迟计算或公告。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、基金产品资料概要</w:t>
      </w:r>
      <w:r>
        <w:rPr>
          <w:bCs/>
          <w:sz w:val="24"/>
        </w:rPr>
        <w:t>中列示。申购的有效份额为净申购金额除以当日的基金份额净值，有效份额单位为份</w:t>
      </w:r>
      <w:r>
        <w:rPr>
          <w:rFonts w:hint="eastAsia"/>
          <w:bCs/>
          <w:sz w:val="24"/>
        </w:rPr>
        <w:t>，</w:t>
      </w:r>
      <w:r>
        <w:rPr>
          <w:bCs/>
          <w:sz w:val="24"/>
        </w:rPr>
        <w:t>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w:t>
      </w:r>
      <w:r>
        <w:rPr>
          <w:rFonts w:hint="eastAsia"/>
          <w:bCs/>
          <w:sz w:val="24"/>
        </w:rPr>
        <w:t>本基金的赎回费率由基金管理人决定，并在招募说明书、</w:t>
      </w:r>
      <w:r>
        <w:rPr>
          <w:bCs/>
          <w:sz w:val="24"/>
        </w:rPr>
        <w:t>基金产品资料概要</w:t>
      </w:r>
      <w:r>
        <w:rPr>
          <w:rFonts w:hint="eastAsia"/>
          <w:bCs/>
          <w:sz w:val="24"/>
        </w:rPr>
        <w:t>中列示。</w:t>
      </w:r>
      <w:r>
        <w:rPr>
          <w:bCs/>
          <w:sz w:val="24"/>
        </w:rPr>
        <w:t>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w:t>
      </w:r>
      <w:r>
        <w:rPr>
          <w:bCs/>
          <w:sz w:val="24"/>
        </w:rPr>
        <w:t>申购费用由投资人承担，不列入基金财产。</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80" w:firstLineChars="200"/>
        <w:rPr>
          <w:bCs/>
          <w:sz w:val="24"/>
        </w:rPr>
      </w:pPr>
      <w:r>
        <w:rPr>
          <w:rFonts w:hint="eastAsia"/>
          <w:bCs/>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bCs/>
          <w:sz w:val="24"/>
        </w:rPr>
      </w:pPr>
      <w:r>
        <w:rPr>
          <w:bCs/>
          <w:sz w:val="24"/>
        </w:rPr>
        <w:t>7、</w:t>
      </w:r>
      <w:r>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和基金赎回费率。</w:t>
      </w:r>
    </w:p>
    <w:p>
      <w:pPr>
        <w:spacing w:line="360" w:lineRule="auto"/>
        <w:ind w:firstLine="480" w:firstLineChars="200"/>
        <w:rPr>
          <w:bCs/>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rFonts w:hint="eastAsia"/>
          <w:bCs/>
          <w:sz w:val="24"/>
        </w:rPr>
        <w:t>七、</w:t>
      </w:r>
      <w:r>
        <w:rPr>
          <w:bCs/>
          <w:sz w:val="24"/>
        </w:rPr>
        <w:t>拒绝或暂停申购的情形</w:t>
      </w:r>
    </w:p>
    <w:p>
      <w:pPr>
        <w:spacing w:line="360" w:lineRule="auto"/>
        <w:ind w:firstLine="480" w:firstLineChars="200"/>
        <w:rPr>
          <w:bCs/>
          <w:sz w:val="24"/>
        </w:rPr>
      </w:pPr>
      <w:r>
        <w:rPr>
          <w:rFonts w:hint="eastAsia"/>
          <w:bCs/>
          <w:sz w:val="24"/>
        </w:rPr>
        <w:t>在开放期内</w:t>
      </w: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w:t>
      </w:r>
      <w:r>
        <w:rPr>
          <w:bCs/>
          <w:sz w:val="24"/>
        </w:rPr>
        <w:t>期货交易所交易时间非正常停市，导致基金管理人无法计算当日基金资产净值。</w:t>
      </w:r>
    </w:p>
    <w:p>
      <w:pPr>
        <w:spacing w:line="360" w:lineRule="auto"/>
        <w:ind w:firstLine="480" w:firstLineChars="200"/>
        <w:rPr>
          <w:bCs/>
          <w:sz w:val="24"/>
        </w:rPr>
      </w:pPr>
      <w:bookmarkStart w:id="123" w:name="_Hlt70481650"/>
      <w:bookmarkEnd w:id="123"/>
      <w:r>
        <w:rPr>
          <w:rFonts w:hint="eastAsia"/>
          <w:bCs/>
          <w:sz w:val="24"/>
        </w:rPr>
        <w:t>4、</w:t>
      </w:r>
      <w:r>
        <w:rPr>
          <w:bCs/>
          <w:sz w:val="24"/>
        </w:rPr>
        <w:t>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pPr>
        <w:spacing w:line="360" w:lineRule="auto"/>
        <w:ind w:firstLine="480" w:firstLineChars="200"/>
        <w:rPr>
          <w:bCs/>
          <w:sz w:val="24"/>
        </w:rPr>
      </w:pPr>
      <w:r>
        <w:rPr>
          <w:rFonts w:hint="eastAsia"/>
          <w:bCs/>
          <w:sz w:val="24"/>
        </w:rPr>
        <w:t>7、个人投资者申购。</w:t>
      </w:r>
    </w:p>
    <w:p>
      <w:pPr>
        <w:spacing w:line="360" w:lineRule="auto"/>
        <w:ind w:firstLine="480" w:firstLineChars="200"/>
        <w:rPr>
          <w:bCs/>
          <w:sz w:val="24"/>
        </w:rPr>
      </w:pPr>
      <w:r>
        <w:rPr>
          <w:rFonts w:hint="eastAsia"/>
          <w:bCs/>
          <w:sz w:val="24"/>
        </w:rPr>
        <w:t>8、当特定资产占前一估值日基金资产净值50%以上的，经与基金托管人协商确认后，基金管理人应当暂停接受基金申购申请。</w:t>
      </w:r>
    </w:p>
    <w:p>
      <w:pPr>
        <w:spacing w:line="360" w:lineRule="auto"/>
        <w:ind w:firstLine="480" w:firstLineChars="200"/>
        <w:rPr>
          <w:bCs/>
          <w:sz w:val="24"/>
        </w:rPr>
      </w:pPr>
      <w:r>
        <w:rPr>
          <w:bCs/>
          <w:sz w:val="24"/>
        </w:rPr>
        <w:t>9</w:t>
      </w:r>
      <w:r>
        <w:rPr>
          <w:rFonts w:hint="eastAsia"/>
          <w:bCs/>
          <w:sz w:val="24"/>
        </w:rPr>
        <w:t>、</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、6、8、9</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，且开放期时间将相应顺延，</w:t>
      </w:r>
      <w:r>
        <w:rPr>
          <w:bCs/>
          <w:sz w:val="24"/>
        </w:rPr>
        <w:t>并依法公告。</w:t>
      </w:r>
    </w:p>
    <w:p>
      <w:pPr>
        <w:spacing w:line="360" w:lineRule="auto"/>
        <w:ind w:firstLine="480" w:firstLineChars="200"/>
        <w:rPr>
          <w:bCs/>
          <w:sz w:val="24"/>
        </w:rPr>
      </w:pPr>
      <w:r>
        <w:rPr>
          <w:rFonts w:hint="eastAsia"/>
          <w:bCs/>
          <w:sz w:val="24"/>
        </w:rPr>
        <w:t>八、</w:t>
      </w:r>
      <w:r>
        <w:rPr>
          <w:bCs/>
          <w:sz w:val="24"/>
        </w:rPr>
        <w:t>暂停赎回或延缓支付赎回款项的情形</w:t>
      </w:r>
    </w:p>
    <w:p>
      <w:pPr>
        <w:spacing w:line="360" w:lineRule="auto"/>
        <w:ind w:firstLine="480" w:firstLineChars="200"/>
        <w:rPr>
          <w:bCs/>
          <w:sz w:val="24"/>
        </w:rPr>
      </w:pPr>
      <w:r>
        <w:rPr>
          <w:rFonts w:hint="eastAsia"/>
          <w:bCs/>
          <w:sz w:val="24"/>
        </w:rPr>
        <w:t>在开放期内</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、发生基金合同规定的暂停基金资产估值情况时，基金管理人可暂停接受投资人的赎回申请或延缓支付赎回款项。</w:t>
      </w:r>
    </w:p>
    <w:p>
      <w:pPr>
        <w:spacing w:line="360" w:lineRule="auto"/>
        <w:ind w:firstLine="480" w:firstLineChars="200"/>
        <w:rPr>
          <w:bCs/>
          <w:sz w:val="24"/>
        </w:rPr>
      </w:pPr>
      <w:r>
        <w:rPr>
          <w:rFonts w:hint="eastAsia"/>
          <w:bCs/>
          <w:sz w:val="24"/>
        </w:rPr>
        <w:t>3、</w:t>
      </w:r>
      <w:r>
        <w:rPr>
          <w:bCs/>
          <w:sz w:val="24"/>
        </w:rPr>
        <w:t>证券</w:t>
      </w:r>
      <w:r>
        <w:rPr>
          <w:rFonts w:hint="eastAsia"/>
          <w:bCs/>
          <w:sz w:val="24"/>
        </w:rPr>
        <w:t>、</w:t>
      </w:r>
      <w:r>
        <w:rPr>
          <w:bCs/>
          <w:sz w:val="24"/>
        </w:rPr>
        <w:t>期货交易所交易时间非正常停市，导致基金管理人无法计算当日基金资产</w:t>
      </w:r>
      <w:bookmarkStart w:id="124" w:name="_Hlt152500890"/>
      <w:r>
        <w:rPr>
          <w:bCs/>
          <w:sz w:val="24"/>
        </w:rPr>
        <w:t>净值。</w:t>
      </w:r>
    </w:p>
    <w:p>
      <w:pPr>
        <w:spacing w:line="360" w:lineRule="auto"/>
        <w:ind w:firstLine="480" w:firstLineChars="200"/>
        <w:rPr>
          <w:bCs/>
          <w:sz w:val="24"/>
        </w:rPr>
      </w:pPr>
      <w:r>
        <w:rPr>
          <w:bCs/>
          <w:sz w:val="24"/>
        </w:rPr>
        <w:t>4</w:t>
      </w:r>
      <w:r>
        <w:rPr>
          <w:rFonts w:hint="eastAsia"/>
          <w:bCs/>
          <w:sz w:val="24"/>
        </w:rPr>
        <w:t>、发生继续接受赎回申请将损害现有基金份额持有人利益的情形时，基金管理人可暂停接受基金份额持有人的赎回申请。</w:t>
      </w:r>
    </w:p>
    <w:p>
      <w:pPr>
        <w:spacing w:line="360" w:lineRule="auto"/>
        <w:ind w:firstLine="480" w:firstLineChars="200"/>
        <w:rPr>
          <w:bCs/>
          <w:sz w:val="24"/>
        </w:rPr>
      </w:pPr>
      <w:r>
        <w:rPr>
          <w:rFonts w:hint="eastAsia"/>
          <w:bCs/>
          <w:sz w:val="24"/>
        </w:rPr>
        <w:t>5、当特定资产占前一估值日基金资产净值50%以上的，经与基金托管人协商确认后，基金管理人应当延缓支付赎回款项或暂停接受基金赎回申请。</w:t>
      </w:r>
    </w:p>
    <w:bookmarkEnd w:id="124"/>
    <w:p>
      <w:pPr>
        <w:spacing w:line="360" w:lineRule="auto"/>
        <w:ind w:firstLine="480" w:firstLineChars="200"/>
        <w:rPr>
          <w:bCs/>
          <w:sz w:val="24"/>
        </w:rPr>
      </w:pPr>
      <w:r>
        <w:rPr>
          <w:bCs/>
          <w:sz w:val="24"/>
        </w:rPr>
        <w:t>6</w:t>
      </w:r>
      <w:r>
        <w:rPr>
          <w:rFonts w:hint="eastAsia"/>
          <w:bCs/>
          <w:sz w:val="24"/>
        </w:rPr>
        <w:t>、</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之一且基金管理人决定暂停赎回或延缓支付赎回款项</w:t>
      </w:r>
      <w:r>
        <w:rPr>
          <w:bCs/>
          <w:sz w:val="24"/>
        </w:rPr>
        <w:t>时，基金管理人应及时报中国证监会备案，已确认的赎回申请，基金管理人应足额支付；如暂时不能足额支付，</w:t>
      </w:r>
      <w:r>
        <w:rPr>
          <w:rFonts w:hint="eastAsia"/>
          <w:bCs/>
          <w:sz w:val="24"/>
        </w:rPr>
        <w:t>应将可支付部分按单个账户申请量占申请总量的比例分配给赎回申请人，未支付部分可延期支付</w:t>
      </w:r>
      <w:r>
        <w:rPr>
          <w:bCs/>
          <w:sz w:val="24"/>
        </w:rPr>
        <w:t>。在暂停赎回的情况消除时，基金管理人应及时恢复赎回业务的办理并公告</w:t>
      </w:r>
      <w:r>
        <w:rPr>
          <w:rFonts w:hint="eastAsia"/>
          <w:bCs/>
          <w:sz w:val="24"/>
        </w:rPr>
        <w:t>，且开放期按暂停赎回的期间相应顺延</w:t>
      </w:r>
      <w:r>
        <w:rPr>
          <w:bCs/>
          <w:sz w:val="24"/>
        </w:rPr>
        <w:t>。</w:t>
      </w:r>
    </w:p>
    <w:p>
      <w:pPr>
        <w:spacing w:line="360" w:lineRule="auto"/>
        <w:ind w:firstLine="480" w:firstLineChars="200"/>
        <w:rPr>
          <w:bCs/>
          <w:sz w:val="24"/>
        </w:rPr>
      </w:pPr>
      <w:r>
        <w:rPr>
          <w:rFonts w:hint="eastAsia"/>
          <w:bCs/>
          <w:sz w:val="24"/>
        </w:rPr>
        <w:t>九、</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w:t>
      </w:r>
      <w:r>
        <w:rPr>
          <w:rFonts w:hint="eastAsia"/>
          <w:bCs/>
          <w:sz w:val="24"/>
        </w:rPr>
        <w:t>开放期内</w:t>
      </w:r>
      <w:r>
        <w:rPr>
          <w:bCs/>
          <w:sz w:val="24"/>
        </w:rPr>
        <w:t>单个开放日内的基金份额净赎回申请(赎回申请份额总数加上基金转换中转出申请份额总数后扣除申购申请份额总数及基金转换中转入申请份额总数后的余额)超过前一</w:t>
      </w:r>
      <w:r>
        <w:rPr>
          <w:rFonts w:hint="eastAsia"/>
          <w:bCs/>
          <w:sz w:val="24"/>
        </w:rPr>
        <w:t>工作</w:t>
      </w:r>
      <w:r>
        <w:rPr>
          <w:bCs/>
          <w:sz w:val="24"/>
        </w:rPr>
        <w:t>日的基金总份额的</w:t>
      </w:r>
      <w:r>
        <w:rPr>
          <w:rFonts w:hint="eastAsia"/>
          <w:bCs/>
          <w:sz w:val="24"/>
        </w:rPr>
        <w:t>20%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、巨额赎回的处理方式</w:t>
      </w:r>
    </w:p>
    <w:p>
      <w:pPr>
        <w:spacing w:line="360" w:lineRule="auto"/>
        <w:ind w:firstLine="480" w:firstLineChars="200"/>
        <w:rPr>
          <w:bCs/>
          <w:sz w:val="24"/>
        </w:rPr>
      </w:pPr>
      <w:r>
        <w:rPr>
          <w:rFonts w:hint="eastAsia"/>
          <w:bCs/>
          <w:sz w:val="24"/>
        </w:rPr>
        <w:t>当基金出现巨额赎回时，基金管理人可以根据基金当时的资产组合状况决定全额赎回或延缓支付赎回款项。</w:t>
      </w:r>
    </w:p>
    <w:p>
      <w:pPr>
        <w:spacing w:line="360" w:lineRule="auto"/>
        <w:ind w:firstLine="480" w:firstLineChars="200"/>
        <w:rPr>
          <w:bCs/>
          <w:sz w:val="24"/>
        </w:rPr>
      </w:pPr>
      <w:r>
        <w:rPr>
          <w:rFonts w:hint="eastAsia"/>
          <w:bCs/>
          <w:sz w:val="24"/>
        </w:rPr>
        <w:t>（1）全额赎回：当基金管理人认为有能力支付投资人的全部赎回申请时，按正常赎回程序执行将对赎回款项进行全额支付。</w:t>
      </w:r>
    </w:p>
    <w:p>
      <w:pPr>
        <w:spacing w:line="360" w:lineRule="auto"/>
        <w:ind w:firstLine="480" w:firstLineChars="200"/>
        <w:rPr>
          <w:bCs/>
          <w:sz w:val="24"/>
        </w:rPr>
      </w:pPr>
      <w:r>
        <w:rPr>
          <w:rFonts w:hint="eastAsia"/>
          <w:bCs/>
          <w:sz w:val="24"/>
        </w:rPr>
        <w:t>（2）延缓支付赎回款项：当基金管理人认为支付投资人的赎回申请有困难或认为因支付投资人的赎回申请而进行的财产变现可能会对基金资产净值造成较大波动时，基金管理人应当接受并确认所有赎回申请，当日按比例办理的赎回份额不得低于上一工作日基金总份额的20%，其余赎回申请可以延缓支付赎回款项，但延缓支付的期限不得超过20个工作日内。延缓支付的赎回申请以赎回申请确认当日的基金份额净值为基础计算赎回金额。</w:t>
      </w:r>
    </w:p>
    <w:p>
      <w:pPr>
        <w:spacing w:line="360" w:lineRule="auto"/>
        <w:ind w:firstLine="480" w:firstLineChars="200"/>
        <w:rPr>
          <w:bCs/>
          <w:sz w:val="24"/>
        </w:rPr>
      </w:pPr>
      <w:r>
        <w:rPr>
          <w:rFonts w:hint="eastAsia"/>
          <w:bCs/>
          <w:sz w:val="24"/>
        </w:rPr>
        <w:t>（3）部分延期赎回：</w:t>
      </w:r>
    </w:p>
    <w:p>
      <w:pPr>
        <w:spacing w:line="360" w:lineRule="auto"/>
        <w:ind w:firstLine="480" w:firstLineChars="200"/>
        <w:rPr>
          <w:bCs/>
          <w:sz w:val="24"/>
        </w:rPr>
      </w:pPr>
      <w:r>
        <w:rPr>
          <w:rFonts w:hint="eastAsia"/>
          <w:bCs/>
          <w:sz w:val="24"/>
        </w:rPr>
        <w:t>在开放期内，若本基金发生巨额赎回且单个基金份额持有人的单日赎回申请超过上一工作日基金总份额20%的，基金管理人有权对该单个基金份额持有人超过该比例以上的赎回申请实施延期办理，该单个基金份额持有人的剩余赎回申请与其他基金份额持有人的赎回申请，</w:t>
      </w:r>
      <w:r>
        <w:rPr>
          <w:bCs/>
          <w:sz w:val="24"/>
        </w:rPr>
        <w:t>应当按</w:t>
      </w:r>
      <w:r>
        <w:rPr>
          <w:rFonts w:hint="eastAsia"/>
          <w:bCs/>
          <w:sz w:val="24"/>
        </w:rPr>
        <w:t>照其申请赎回份额</w:t>
      </w:r>
      <w:r>
        <w:rPr>
          <w:bCs/>
          <w:sz w:val="24"/>
        </w:rPr>
        <w:t>占</w:t>
      </w:r>
      <w:r>
        <w:rPr>
          <w:rFonts w:hint="eastAsia"/>
          <w:bCs/>
          <w:sz w:val="24"/>
        </w:rPr>
        <w:t>当日申请</w:t>
      </w:r>
      <w:r>
        <w:rPr>
          <w:bCs/>
          <w:sz w:val="24"/>
        </w:rPr>
        <w:t>赎回总</w:t>
      </w:r>
      <w:r>
        <w:rPr>
          <w:rFonts w:hint="eastAsia"/>
          <w:bCs/>
          <w:sz w:val="24"/>
        </w:rPr>
        <w:t>份额</w:t>
      </w:r>
      <w:r>
        <w:rPr>
          <w:bCs/>
          <w:sz w:val="24"/>
        </w:rPr>
        <w:t>的比例，</w:t>
      </w:r>
      <w:r>
        <w:rPr>
          <w:rFonts w:hint="eastAsia"/>
          <w:bCs/>
          <w:sz w:val="24"/>
        </w:rPr>
        <w:t>根据上述“（1）全额赎回”或“（2）延缓支付赎回款项”的约定规则，</w:t>
      </w:r>
      <w:r>
        <w:rPr>
          <w:bCs/>
          <w:sz w:val="24"/>
        </w:rPr>
        <w:t>确定</w:t>
      </w:r>
      <w:r>
        <w:rPr>
          <w:rFonts w:hint="eastAsia"/>
          <w:bCs/>
          <w:sz w:val="24"/>
        </w:rPr>
        <w:t>该单个账户</w:t>
      </w:r>
      <w:r>
        <w:rPr>
          <w:bCs/>
          <w:sz w:val="24"/>
        </w:rPr>
        <w:t>当日</w:t>
      </w:r>
      <w:r>
        <w:rPr>
          <w:rFonts w:hint="eastAsia"/>
          <w:bCs/>
          <w:sz w:val="24"/>
        </w:rPr>
        <w:t>办理</w:t>
      </w:r>
      <w:r>
        <w:rPr>
          <w:bCs/>
          <w:sz w:val="24"/>
        </w:rPr>
        <w:t>的赎回份额；</w:t>
      </w:r>
      <w:r>
        <w:rPr>
          <w:rFonts w:hint="eastAsia"/>
          <w:bCs/>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pPr>
        <w:spacing w:line="360" w:lineRule="auto"/>
        <w:ind w:firstLine="480" w:firstLineChars="200"/>
        <w:rPr>
          <w:bCs/>
          <w:sz w:val="24"/>
        </w:rPr>
      </w:pPr>
      <w:r>
        <w:rPr>
          <w:rFonts w:hint="eastAsia"/>
          <w:bCs/>
          <w:sz w:val="24"/>
        </w:rPr>
        <w:t>如延期办理期限超过开放期的，开放期相应延长，延期的开放期不办理申购，亦不接受新的赎回申请，即基金管理人仅为开放期内因提交赎回申请超过基金总份额20%以上而被延期办理赎回的单个基金份额持有人办理赎回业务，直至全部赎回为止。</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巨额赎回并延缓支付赎回款项的情况</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并在2日</w:t>
      </w:r>
      <w:r>
        <w:rPr>
          <w:bCs/>
          <w:sz w:val="24"/>
        </w:rPr>
        <w:t>内在规定媒介上刊登公告。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在</w:t>
      </w:r>
      <w:r>
        <w:rPr>
          <w:bCs/>
          <w:sz w:val="24"/>
        </w:rPr>
        <w:t>规定期限内在规定媒介上刊登暂停公告。</w:t>
      </w:r>
    </w:p>
    <w:p>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如发生暂停的时间为1日，基金管理人应于重新开放日，在规定媒介上刊登基金重新开放申购或赎回公告，并公布最近1个开放日的基金份额净值。</w:t>
      </w:r>
    </w:p>
    <w:p>
      <w:pPr>
        <w:spacing w:line="360" w:lineRule="auto"/>
        <w:ind w:firstLine="480" w:firstLineChars="200"/>
        <w:rPr>
          <w:rFonts w:ascii="宋体" w:hAnsi="宋体"/>
          <w:sz w:val="24"/>
        </w:rPr>
      </w:pPr>
      <w:r>
        <w:rPr>
          <w:rFonts w:hint="eastAsia"/>
          <w:bCs/>
          <w:sz w:val="24"/>
        </w:rPr>
        <w:t>3、</w:t>
      </w:r>
      <w:r>
        <w:rPr>
          <w:rFonts w:hint="eastAsia" w:ascii="宋体" w:hAnsi="宋体"/>
          <w:sz w:val="24"/>
        </w:rPr>
        <w:t>如果发生暂停的时间超过一天但少于两周，暂停结束基金重新开放申购或赎回时，基金管理人应提前2日在规定媒介刊登基金重新开放申购或赎回的公告，并在重新开始办理申购或赎回的开放日公告最近一个工作日的</w:t>
      </w:r>
      <w:r>
        <w:rPr>
          <w:rFonts w:hint="eastAsia" w:ascii="宋体" w:hAnsi="宋体" w:cs="宋体"/>
          <w:kern w:val="0"/>
          <w:sz w:val="24"/>
        </w:rPr>
        <w:t>基金份额净值</w:t>
      </w:r>
      <w:r>
        <w:rPr>
          <w:rFonts w:hint="eastAsia" w:ascii="宋体" w:hAnsi="宋体"/>
          <w:sz w:val="24"/>
        </w:rPr>
        <w:t>。</w:t>
      </w:r>
    </w:p>
    <w:p>
      <w:pPr>
        <w:spacing w:line="360" w:lineRule="auto"/>
        <w:ind w:firstLine="480" w:firstLineChars="200"/>
        <w:rPr>
          <w:sz w:val="24"/>
        </w:rPr>
      </w:pPr>
      <w:r>
        <w:rPr>
          <w:rFonts w:hint="eastAsia" w:ascii="宋体" w:hAnsi="宋体"/>
          <w:sz w:val="24"/>
        </w:rPr>
        <w:t>4、如果发生暂停的时间超过两周，暂停期间，基金管理人应每两周至少重复刊登暂停公告一次。暂停结束基金重新开放申购或赎回时，基金管理人应提前2日在规定媒介连续刊登基金重新开放申购或赎回的公告，并在重新开放申购或赎回日公告最近一个工作日的</w:t>
      </w:r>
      <w:r>
        <w:rPr>
          <w:rFonts w:hint="eastAsia" w:ascii="宋体" w:hAnsi="宋体" w:cs="宋体"/>
          <w:kern w:val="0"/>
          <w:sz w:val="24"/>
        </w:rPr>
        <w:t>基金份额净值</w:t>
      </w:r>
      <w:r>
        <w:rPr>
          <w:rFonts w:hint="eastAsia" w:ascii="宋体" w:hAnsi="宋体"/>
          <w:sz w:val="24"/>
        </w:rPr>
        <w:t>。</w:t>
      </w:r>
    </w:p>
    <w:p>
      <w:pPr>
        <w:spacing w:line="360" w:lineRule="auto"/>
        <w:ind w:firstLine="480" w:firstLineChars="200"/>
        <w:rPr>
          <w:bCs/>
          <w:sz w:val="24"/>
        </w:rPr>
      </w:pPr>
      <w:r>
        <w:rPr>
          <w:bCs/>
          <w:sz w:val="24"/>
        </w:rPr>
        <w:t>十</w:t>
      </w:r>
      <w:r>
        <w:rPr>
          <w:rFonts w:hint="eastAsia"/>
          <w:bCs/>
          <w:sz w:val="24"/>
        </w:rPr>
        <w:t>一、</w:t>
      </w:r>
      <w:r>
        <w:rPr>
          <w:bCs/>
          <w:sz w:val="24"/>
        </w:rPr>
        <w:t>基金转换</w:t>
      </w:r>
    </w:p>
    <w:p>
      <w:pPr>
        <w:spacing w:line="360" w:lineRule="auto"/>
        <w:ind w:firstLine="480" w:firstLineChars="200"/>
        <w:rPr>
          <w:bCs/>
          <w:sz w:val="24"/>
        </w:rPr>
      </w:pPr>
      <w:r>
        <w:rPr>
          <w:bCs/>
          <w:sz w:val="24"/>
        </w:rPr>
        <w:t>基金管理人</w:t>
      </w:r>
      <w:r>
        <w:rPr>
          <w:rFonts w:hint="eastAsia"/>
          <w:bCs/>
          <w:sz w:val="24"/>
        </w:rPr>
        <w:t>在</w:t>
      </w:r>
      <w:r>
        <w:rPr>
          <w:bCs/>
          <w:sz w:val="24"/>
        </w:rPr>
        <w:t>开放期内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十二</w:t>
      </w:r>
      <w:r>
        <w:rPr>
          <w:rFonts w:hint="eastAsia"/>
          <w:bCs/>
          <w:sz w:val="24"/>
        </w:rPr>
        <w:t>、基金份额的转让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ascii="Arial" w:hAnsi="Arial" w:cs="Arial"/>
          <w:bCs/>
          <w:sz w:val="24"/>
        </w:rPr>
        <w:t>，或者按照相关法律法规或国家有权机关要求的方式进行处理的行为</w:t>
      </w:r>
      <w:r>
        <w:rPr>
          <w:bCs/>
          <w:sz w:val="24"/>
        </w:rPr>
        <w:t>。无论在上述何种情况下，接受划转的主体必须是依法可以持有本基金基金份额的投资人</w:t>
      </w:r>
      <w:r>
        <w:rPr>
          <w:rFonts w:hint="eastAsia"/>
          <w:bCs/>
          <w:sz w:val="24"/>
        </w:rPr>
        <w:t>，或按法律法规或国家有权机关要求的方式执行</w:t>
      </w:r>
      <w:r>
        <w:rPr>
          <w:bCs/>
          <w:sz w:val="24"/>
        </w:rPr>
        <w:t>。</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基金份额被冻结的，被冻结部分产生的权益一并冻结，被冻结部分份额仍然参与收益分配。法律法规或基金合同另有规定的除外。</w:t>
      </w:r>
    </w:p>
    <w:p>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pPr>
        <w:spacing w:line="360" w:lineRule="auto"/>
        <w:ind w:firstLine="480" w:firstLineChars="200"/>
        <w:rPr>
          <w:bCs/>
          <w:sz w:val="24"/>
        </w:rPr>
      </w:pPr>
      <w:r>
        <w:rPr>
          <w:rFonts w:hint="eastAsia"/>
          <w:bCs/>
          <w:sz w:val="24"/>
        </w:rPr>
        <w:t>十七、实施侧袋机制期间本基金的申购与赎回</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p>
      <w:pPr>
        <w:spacing w:line="360" w:lineRule="auto"/>
        <w:ind w:firstLine="480" w:firstLineChars="200"/>
        <w:rPr>
          <w:bCs/>
          <w:sz w:val="24"/>
        </w:rPr>
      </w:pPr>
      <w:r>
        <w:rPr>
          <w:bCs/>
          <w:sz w:val="24"/>
        </w:rPr>
        <w:t>十</w:t>
      </w:r>
      <w:r>
        <w:rPr>
          <w:rFonts w:hint="eastAsia"/>
          <w:bCs/>
          <w:sz w:val="24"/>
        </w:rPr>
        <w:t>八、其他</w:t>
      </w:r>
    </w:p>
    <w:p>
      <w:pPr>
        <w:spacing w:line="360" w:lineRule="auto"/>
        <w:ind w:firstLine="480" w:firstLineChars="200"/>
        <w:rPr>
          <w:bCs/>
          <w:sz w:val="24"/>
        </w:rPr>
      </w:pPr>
      <w:r>
        <w:rPr>
          <w:rFonts w:hint="eastAsia"/>
          <w:bCs/>
          <w:sz w:val="24"/>
        </w:rPr>
        <w:t>1、在对基金份额持有人利益无实质不利影响的前提下，基金管理人经与基金托管人协商一致，可对基金份额进行折算，不需召开基金份额持有人大会审议。</w:t>
      </w:r>
    </w:p>
    <w:p>
      <w:pPr>
        <w:spacing w:line="360" w:lineRule="auto"/>
        <w:ind w:firstLine="480" w:firstLineChars="200"/>
        <w:rPr>
          <w:bCs/>
          <w:sz w:val="24"/>
        </w:rPr>
      </w:pPr>
      <w:r>
        <w:rPr>
          <w:rFonts w:hint="eastAsia"/>
          <w:bCs/>
          <w:sz w:val="24"/>
        </w:rPr>
        <w:t>2、当技术条件成熟，本基金管理人在不违反法律法规且对基金份额持有人利益无实质不利影响的前提下，经与基金托管人协商一致，可根据具体情况对上述申购和赎回的安排进行补充和调整，或者按登记机构的相关业务规则办理基金份额的转让、过户、质押等业务，届时无需召开基金份额持有人大会审议但需提前公告。</w:t>
      </w:r>
    </w:p>
    <w:p>
      <w:pPr>
        <w:spacing w:line="360" w:lineRule="auto"/>
        <w:ind w:firstLine="480" w:firstLineChars="200"/>
        <w:rPr>
          <w:rFonts w:ascii="Arial" w:hAnsi="Arial" w:cs="Arial"/>
          <w:bCs/>
          <w:sz w:val="24"/>
        </w:rPr>
      </w:pPr>
      <w:r>
        <w:rPr>
          <w:bCs/>
          <w:sz w:val="24"/>
        </w:rPr>
        <w:t>3</w:t>
      </w:r>
      <w:r>
        <w:rPr>
          <w:rFonts w:ascii="Arial" w:hAnsi="Arial" w:cs="Arial"/>
          <w:bCs/>
          <w:sz w:val="24"/>
        </w:rPr>
        <w:t>、</w:t>
      </w:r>
      <w:r>
        <w:rPr>
          <w:rFonts w:hint="eastAsia"/>
          <w:bCs/>
          <w:sz w:val="24"/>
        </w:rPr>
        <w:t>基金管理人可在不违反相关法律法规、不对基金份额持有人利益产生实质性不利影响的前提下，根据届时具体情况对上述申购和赎回的安排进行补充和调整并提前公告</w:t>
      </w:r>
      <w:r>
        <w:rPr>
          <w:rFonts w:ascii="Arial" w:hAnsi="Arial" w:cs="Arial"/>
          <w:bCs/>
          <w:sz w:val="24"/>
        </w:rPr>
        <w:t>。</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125" w:name="_Toc26207"/>
      <w:bookmarkStart w:id="126" w:name="_Toc98560353"/>
      <w:bookmarkStart w:id="127" w:name="_Toc15143"/>
      <w:bookmarkStart w:id="128" w:name="_Toc123102454"/>
      <w:bookmarkStart w:id="129" w:name="_Toc139991737"/>
      <w:bookmarkStart w:id="130" w:name="_Toc123051453"/>
      <w:bookmarkStart w:id="131" w:name="_Toc3601"/>
      <w:bookmarkStart w:id="132" w:name="_Toc29251"/>
      <w:bookmarkStart w:id="133" w:name="_Toc141703887"/>
      <w:bookmarkStart w:id="134" w:name="_Toc123112235"/>
      <w:bookmarkStart w:id="135" w:name="_Toc31235"/>
      <w:bookmarkStart w:id="136" w:name="_Toc12245"/>
      <w:bookmarkStart w:id="137" w:name="_Toc31653"/>
      <w:bookmarkStart w:id="138" w:name="_Toc16859"/>
      <w:bookmarkStart w:id="139" w:name="_Toc519229403"/>
      <w:bookmarkStart w:id="140" w:name="_Toc6405"/>
      <w:bookmarkStart w:id="141" w:name="_Toc14835"/>
      <w:bookmarkStart w:id="142" w:name="_Toc31644"/>
      <w:r>
        <w:rPr>
          <w:rFonts w:ascii="Times New Roman"/>
          <w:color w:val="auto"/>
          <w:sz w:val="30"/>
        </w:rPr>
        <w:t>第</w:t>
      </w:r>
      <w:r>
        <w:rPr>
          <w:rFonts w:hint="eastAsia" w:ascii="Times New Roman"/>
          <w:color w:val="auto"/>
          <w:sz w:val="30"/>
        </w:rPr>
        <w:t>七</w:t>
      </w:r>
      <w:r>
        <w:rPr>
          <w:rFonts w:ascii="Times New Roman"/>
          <w:color w:val="auto"/>
          <w:sz w:val="30"/>
        </w:rPr>
        <w:t>部分  基金合同当事人及权利义务</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3" w:name="_Hlt55355235"/>
      <w:bookmarkEnd w:id="143"/>
      <w:bookmarkStart w:id="144" w:name="_Toc523711668"/>
      <w:bookmarkStart w:id="145" w:name="_Toc57530239"/>
      <w:bookmarkStart w:id="146" w:name="_Toc79392580"/>
      <w:bookmarkStart w:id="147" w:name="_Toc15118234"/>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4"/>
      <w:r>
        <w:rPr>
          <w:bCs/>
          <w:sz w:val="24"/>
        </w:rPr>
        <w:t>管理人</w:t>
      </w:r>
      <w:bookmarkEnd w:id="145"/>
      <w:bookmarkEnd w:id="146"/>
      <w:bookmarkEnd w:id="147"/>
    </w:p>
    <w:p>
      <w:pPr>
        <w:spacing w:line="360" w:lineRule="auto"/>
        <w:ind w:firstLine="480" w:firstLineChars="200"/>
        <w:rPr>
          <w:bCs/>
          <w:sz w:val="24"/>
        </w:rPr>
      </w:pPr>
      <w:bookmarkStart w:id="148" w:name="_Toc15118235"/>
      <w:r>
        <w:rPr>
          <w:bCs/>
          <w:sz w:val="24"/>
        </w:rPr>
        <w:t>（一）</w:t>
      </w:r>
      <w:r>
        <w:rPr>
          <w:bCs/>
          <w:sz w:val="24"/>
        </w:rPr>
        <w:tab/>
      </w:r>
      <w:r>
        <w:rPr>
          <w:bCs/>
          <w:sz w:val="24"/>
        </w:rPr>
        <w:t>基金管理人简况</w:t>
      </w:r>
      <w:bookmarkEnd w:id="148"/>
    </w:p>
    <w:p>
      <w:pPr>
        <w:spacing w:line="360" w:lineRule="auto"/>
        <w:ind w:firstLine="480" w:firstLineChars="200"/>
        <w:rPr>
          <w:bCs/>
          <w:sz w:val="24"/>
        </w:rPr>
      </w:pPr>
      <w:bookmarkStart w:id="149" w:name="_Toc15118236"/>
      <w:bookmarkStart w:id="150" w:name="_Toc15118237"/>
      <w:r>
        <w:rPr>
          <w:bCs/>
          <w:sz w:val="24"/>
        </w:rPr>
        <w:t>名称：</w:t>
      </w:r>
      <w:r>
        <w:rPr>
          <w:rFonts w:hint="eastAsia"/>
          <w:bCs/>
          <w:sz w:val="24"/>
        </w:rPr>
        <w:t>太平基金管理有限公司</w:t>
      </w:r>
    </w:p>
    <w:p>
      <w:pPr>
        <w:spacing w:line="360" w:lineRule="auto"/>
        <w:ind w:firstLine="480" w:firstLineChars="200"/>
        <w:rPr>
          <w:bCs/>
          <w:sz w:val="24"/>
        </w:rPr>
      </w:pPr>
      <w:r>
        <w:rPr>
          <w:bCs/>
          <w:sz w:val="24"/>
        </w:rPr>
        <w:t>住所：</w:t>
      </w:r>
      <w:r>
        <w:rPr>
          <w:rFonts w:hint="eastAsia"/>
          <w:bCs/>
          <w:sz w:val="24"/>
        </w:rPr>
        <w:t>中国上海市虹口区邯郸路135号5幢101室</w:t>
      </w:r>
    </w:p>
    <w:p>
      <w:pPr>
        <w:spacing w:line="360" w:lineRule="auto"/>
        <w:ind w:firstLine="480" w:firstLineChars="200"/>
        <w:rPr>
          <w:bCs/>
          <w:sz w:val="24"/>
        </w:rPr>
      </w:pPr>
      <w:r>
        <w:rPr>
          <w:bCs/>
          <w:sz w:val="24"/>
        </w:rPr>
        <w:t>法定代表人：</w:t>
      </w:r>
      <w:r>
        <w:rPr>
          <w:rFonts w:hint="eastAsia"/>
          <w:bCs/>
          <w:sz w:val="24"/>
        </w:rPr>
        <w:t>范宇</w:t>
      </w:r>
    </w:p>
    <w:p>
      <w:pPr>
        <w:spacing w:line="360" w:lineRule="auto"/>
        <w:ind w:firstLine="480" w:firstLineChars="200"/>
        <w:rPr>
          <w:bCs/>
          <w:sz w:val="24"/>
        </w:rPr>
      </w:pPr>
      <w:r>
        <w:rPr>
          <w:bCs/>
          <w:sz w:val="24"/>
        </w:rPr>
        <w:t>设立日期：</w:t>
      </w:r>
      <w:r>
        <w:rPr>
          <w:rFonts w:hint="eastAsia"/>
          <w:bCs/>
          <w:sz w:val="24"/>
        </w:rPr>
        <w:t>2013年1月23日</w:t>
      </w:r>
    </w:p>
    <w:p>
      <w:pPr>
        <w:spacing w:line="360" w:lineRule="auto"/>
        <w:ind w:firstLine="480" w:firstLineChars="200"/>
        <w:rPr>
          <w:bCs/>
          <w:sz w:val="24"/>
        </w:rPr>
      </w:pPr>
      <w:r>
        <w:rPr>
          <w:bCs/>
          <w:sz w:val="24"/>
        </w:rPr>
        <w:t>批准设立机关及批准设立文号：</w:t>
      </w:r>
      <w:r>
        <w:rPr>
          <w:rFonts w:hint="eastAsia"/>
          <w:bCs/>
          <w:sz w:val="24"/>
        </w:rPr>
        <w:t>中国证监会证监许可[2012]1719号</w:t>
      </w:r>
    </w:p>
    <w:p>
      <w:pPr>
        <w:spacing w:line="360" w:lineRule="auto"/>
        <w:ind w:firstLine="480" w:firstLineChars="200"/>
        <w:rPr>
          <w:bCs/>
          <w:sz w:val="24"/>
        </w:rPr>
      </w:pPr>
      <w:r>
        <w:rPr>
          <w:bCs/>
          <w:sz w:val="24"/>
        </w:rPr>
        <w:t>组织形式：</w:t>
      </w:r>
      <w:r>
        <w:rPr>
          <w:rFonts w:hint="eastAsia"/>
          <w:bCs/>
          <w:sz w:val="24"/>
        </w:rPr>
        <w:t>有限责任公司</w:t>
      </w:r>
    </w:p>
    <w:p>
      <w:pPr>
        <w:spacing w:line="360" w:lineRule="auto"/>
        <w:ind w:firstLine="480" w:firstLineChars="200"/>
        <w:rPr>
          <w:bCs/>
          <w:sz w:val="24"/>
        </w:rPr>
      </w:pPr>
      <w:r>
        <w:rPr>
          <w:bCs/>
          <w:sz w:val="24"/>
        </w:rPr>
        <w:t>注册资本：</w:t>
      </w:r>
      <w:r>
        <w:rPr>
          <w:rFonts w:hint="eastAsia"/>
          <w:bCs/>
          <w:sz w:val="24"/>
        </w:rPr>
        <w:t>人民币40000万元</w:t>
      </w:r>
    </w:p>
    <w:p>
      <w:pPr>
        <w:spacing w:line="360" w:lineRule="auto"/>
        <w:ind w:firstLine="480" w:firstLineChars="200"/>
        <w:rPr>
          <w:bCs/>
          <w:sz w:val="24"/>
        </w:rPr>
      </w:pPr>
      <w:r>
        <w:rPr>
          <w:bCs/>
          <w:sz w:val="24"/>
        </w:rPr>
        <w:t>存续期限：</w:t>
      </w:r>
      <w:r>
        <w:rPr>
          <w:rFonts w:hint="eastAsia"/>
          <w:bCs/>
          <w:sz w:val="24"/>
        </w:rPr>
        <w:t>持续经营</w:t>
      </w:r>
    </w:p>
    <w:p>
      <w:pPr>
        <w:spacing w:line="360" w:lineRule="auto"/>
        <w:ind w:firstLine="480" w:firstLineChars="200"/>
        <w:rPr>
          <w:bCs/>
          <w:sz w:val="24"/>
        </w:rPr>
      </w:pPr>
      <w:r>
        <w:rPr>
          <w:bCs/>
          <w:sz w:val="24"/>
        </w:rPr>
        <w:t>联系电话：</w:t>
      </w:r>
      <w:r>
        <w:rPr>
          <w:rFonts w:hint="eastAsia"/>
          <w:bCs/>
          <w:sz w:val="24"/>
        </w:rPr>
        <w:t>021-61560999</w:t>
      </w:r>
    </w:p>
    <w:bookmarkEnd w:id="149"/>
    <w:p>
      <w:pPr>
        <w:spacing w:line="360" w:lineRule="auto"/>
        <w:ind w:firstLine="480" w:firstLineChars="200"/>
        <w:rPr>
          <w:bCs/>
          <w:sz w:val="24"/>
        </w:rPr>
      </w:pPr>
      <w:r>
        <w:rPr>
          <w:bCs/>
          <w:sz w:val="24"/>
        </w:rPr>
        <w:t>（二）</w:t>
      </w:r>
      <w:r>
        <w:rPr>
          <w:bCs/>
          <w:sz w:val="24"/>
        </w:rPr>
        <w:tab/>
      </w:r>
      <w:r>
        <w:rPr>
          <w:bCs/>
          <w:sz w:val="24"/>
        </w:rPr>
        <w:t>基金管理人的权利与义务</w:t>
      </w:r>
      <w:bookmarkEnd w:id="150"/>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1" w:name="_Hlt88896155"/>
      <w:r>
        <w:rPr>
          <w:rFonts w:hint="eastAsia"/>
          <w:bCs/>
          <w:sz w:val="24"/>
        </w:rPr>
        <w:t>按照规定</w:t>
      </w:r>
      <w:r>
        <w:rPr>
          <w:bCs/>
          <w:sz w:val="24"/>
        </w:rPr>
        <w:t>召集</w:t>
      </w:r>
      <w:bookmarkEnd w:id="151"/>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360" w:lineRule="auto"/>
        <w:ind w:firstLine="480" w:firstLineChars="200"/>
        <w:rPr>
          <w:bCs/>
          <w:sz w:val="24"/>
        </w:rPr>
      </w:pPr>
      <w:r>
        <w:rPr>
          <w:bCs/>
          <w:sz w:val="24"/>
        </w:rPr>
        <w:t xml:space="preserve">（8）选择、更换基金销售机构，对基金销售机构的相关行为进行监督和处理； </w:t>
      </w:r>
    </w:p>
    <w:p>
      <w:pPr>
        <w:spacing w:line="360" w:lineRule="auto"/>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与转换</w:t>
      </w:r>
      <w:r>
        <w:rPr>
          <w:bCs/>
          <w:sz w:val="24"/>
        </w:rPr>
        <w:t xml:space="preserve">申请； </w:t>
      </w:r>
    </w:p>
    <w:p>
      <w:pPr>
        <w:spacing w:line="440" w:lineRule="atLeast"/>
        <w:ind w:firstLine="480" w:firstLineChars="200"/>
        <w:rPr>
          <w:bCs/>
          <w:sz w:val="24"/>
        </w:rPr>
      </w:pPr>
      <w:r>
        <w:rPr>
          <w:bCs/>
          <w:sz w:val="24"/>
        </w:rPr>
        <w:t>（1</w:t>
      </w:r>
      <w:r>
        <w:rPr>
          <w:rFonts w:hint="eastAsia"/>
          <w:bCs/>
          <w:sz w:val="24"/>
        </w:rPr>
        <w:t>2</w:t>
      </w:r>
      <w:r>
        <w:rPr>
          <w:bCs/>
          <w:sz w:val="24"/>
        </w:rPr>
        <w:t>）依照法律法规为基金的利益行使因基金财产投资于证券所产生的权利；</w:t>
      </w:r>
      <w:r>
        <w:rPr>
          <w:bCs/>
          <w:sz w:val="24"/>
        </w:rPr>
        <w:tab/>
      </w:r>
    </w:p>
    <w:p>
      <w:pPr>
        <w:spacing w:line="440" w:lineRule="atLeast"/>
        <w:ind w:firstLine="480" w:firstLineChars="200"/>
        <w:rPr>
          <w:bCs/>
          <w:sz w:val="24"/>
        </w:rPr>
      </w:pPr>
      <w:r>
        <w:rPr>
          <w:bCs/>
          <w:sz w:val="24"/>
        </w:rPr>
        <w:t>（1</w:t>
      </w:r>
      <w:r>
        <w:rPr>
          <w:rFonts w:hint="eastAsia"/>
          <w:bCs/>
          <w:sz w:val="24"/>
        </w:rPr>
        <w:t>3</w:t>
      </w:r>
      <w:r>
        <w:rPr>
          <w:bCs/>
          <w:sz w:val="24"/>
        </w:rPr>
        <w:t xml:space="preserve">）在法律法规允许的前提下，为基金的利益依法为基金进行融资； </w:t>
      </w:r>
    </w:p>
    <w:p>
      <w:pPr>
        <w:spacing w:line="440" w:lineRule="atLeast"/>
        <w:ind w:firstLine="480" w:firstLineChars="200"/>
        <w:rPr>
          <w:bCs/>
          <w:sz w:val="24"/>
        </w:rPr>
      </w:pP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w:t>
      </w:r>
      <w:r>
        <w:rPr>
          <w:rFonts w:hint="eastAsia"/>
          <w:bCs/>
          <w:sz w:val="24"/>
        </w:rPr>
        <w:t>5</w:t>
      </w:r>
      <w:r>
        <w:rPr>
          <w:bCs/>
          <w:sz w:val="24"/>
        </w:rPr>
        <w:t>）选择、更换律师事务所、会计师事务所、证券</w:t>
      </w:r>
      <w:r>
        <w:rPr>
          <w:rFonts w:hint="eastAsia"/>
          <w:bCs/>
          <w:sz w:val="24"/>
        </w:rPr>
        <w:t>、</w:t>
      </w:r>
      <w:r>
        <w:rPr>
          <w:bCs/>
          <w:sz w:val="24"/>
        </w:rPr>
        <w:t>期货经纪商或其他为基金提供服务的外部机构；</w:t>
      </w:r>
      <w:r>
        <w:rPr>
          <w:bCs/>
          <w:sz w:val="24"/>
        </w:rPr>
        <w:tab/>
      </w:r>
    </w:p>
    <w:p>
      <w:pPr>
        <w:spacing w:line="440" w:lineRule="atLeast"/>
        <w:ind w:firstLine="480" w:firstLineChars="200"/>
        <w:rPr>
          <w:bCs/>
          <w:sz w:val="24"/>
        </w:rPr>
      </w:pPr>
      <w:r>
        <w:rPr>
          <w:bCs/>
          <w:sz w:val="24"/>
        </w:rPr>
        <w:t>（1</w:t>
      </w:r>
      <w:r>
        <w:rPr>
          <w:rFonts w:hint="eastAsia"/>
          <w:bCs/>
          <w:sz w:val="24"/>
        </w:rPr>
        <w:t>6</w:t>
      </w:r>
      <w:r>
        <w:rPr>
          <w:bCs/>
          <w:sz w:val="24"/>
        </w:rPr>
        <w:t>）在符合有关法律、法规的前提下，制订和调整有关基金认购、申购、赎回、转换和非交易过户的业务规则；</w:t>
      </w:r>
    </w:p>
    <w:p>
      <w:pPr>
        <w:spacing w:line="440" w:lineRule="atLeast"/>
        <w:ind w:firstLine="480" w:firstLineChars="200"/>
        <w:rPr>
          <w:bCs/>
          <w:sz w:val="24"/>
        </w:rPr>
      </w:pPr>
      <w:r>
        <w:rPr>
          <w:bCs/>
          <w:sz w:val="24"/>
        </w:rPr>
        <w:t>（1</w:t>
      </w:r>
      <w:r>
        <w:rPr>
          <w:rFonts w:hint="eastAsia"/>
          <w:bCs/>
          <w:sz w:val="24"/>
        </w:rPr>
        <w:t>7</w:t>
      </w:r>
      <w:r>
        <w:rPr>
          <w:bCs/>
          <w:sz w:val="24"/>
        </w:rPr>
        <w:t>）法律法规及中国证监会规定的和《基金合同》约定的其他权利。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w:t>
      </w:r>
      <w:r>
        <w:rPr>
          <w:rFonts w:hint="eastAsia"/>
          <w:bCs/>
          <w:sz w:val="24"/>
        </w:rPr>
        <w:t>或者委托经中国证监会认定的其他机构代为办理</w:t>
      </w:r>
      <w:r>
        <w:rPr>
          <w:bCs/>
          <w:sz w:val="24"/>
        </w:rPr>
        <w:t>基金份额的发售</w:t>
      </w:r>
      <w:r>
        <w:rPr>
          <w:rFonts w:hint="eastAsia"/>
          <w:bCs/>
          <w:sz w:val="24"/>
        </w:rPr>
        <w:t>、申购、赎回</w:t>
      </w:r>
      <w:r>
        <w:rPr>
          <w:bCs/>
          <w:sz w:val="24"/>
        </w:rPr>
        <w:t>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w:t>
      </w:r>
      <w:r>
        <w:rPr>
          <w:rFonts w:hint="eastAsia"/>
          <w:bCs/>
          <w:sz w:val="24"/>
        </w:rPr>
        <w:t>在基金信息公开披露前应予保密，不向他人泄露，向其聘请的审计、法律等外部专业顾问提供的除外，但应确保该等审计、法律等外部专业顾问有关人员同时遵守保密义务；</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bookmarkStart w:id="152" w:name="_Hlt88897298"/>
      <w:bookmarkEnd w:id="152"/>
      <w:bookmarkStart w:id="153" w:name="_Toc523711669"/>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w:t>
      </w:r>
      <w:r>
        <w:rPr>
          <w:rFonts w:hint="eastAsia"/>
          <w:bCs/>
          <w:sz w:val="24"/>
        </w:rPr>
        <w:t>管理人</w:t>
      </w:r>
      <w:r>
        <w:rPr>
          <w:bCs/>
          <w:sz w:val="24"/>
        </w:rPr>
        <w:t>在募集期间未能达到基金</w:t>
      </w:r>
      <w:bookmarkStart w:id="154" w:name="_Hlt88823209"/>
      <w:bookmarkEnd w:id="154"/>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5" w:name="_Toc57530240"/>
      <w:bookmarkStart w:id="156" w:name="_Toc15118238"/>
      <w:bookmarkStart w:id="157" w:name="_Toc79392581"/>
      <w:r>
        <w:rPr>
          <w:bCs/>
          <w:sz w:val="24"/>
        </w:rPr>
        <w:t>二、基金托管人</w:t>
      </w:r>
      <w:bookmarkEnd w:id="153"/>
      <w:bookmarkEnd w:id="155"/>
      <w:bookmarkEnd w:id="156"/>
      <w:bookmarkEnd w:id="157"/>
    </w:p>
    <w:p>
      <w:pPr>
        <w:spacing w:line="360" w:lineRule="auto"/>
        <w:ind w:firstLine="480" w:firstLineChars="200"/>
        <w:rPr>
          <w:bCs/>
          <w:sz w:val="24"/>
        </w:rPr>
      </w:pPr>
      <w:bookmarkStart w:id="158" w:name="_Toc15118239"/>
      <w:r>
        <w:rPr>
          <w:bCs/>
          <w:sz w:val="24"/>
        </w:rPr>
        <w:t>（一）基金托管人简况</w:t>
      </w:r>
      <w:bookmarkEnd w:id="158"/>
    </w:p>
    <w:p>
      <w:pPr>
        <w:spacing w:line="360" w:lineRule="auto"/>
        <w:ind w:firstLine="480" w:firstLineChars="200"/>
        <w:rPr>
          <w:bCs/>
          <w:sz w:val="24"/>
        </w:rPr>
      </w:pPr>
      <w:r>
        <w:rPr>
          <w:rFonts w:hint="eastAsia"/>
          <w:bCs/>
          <w:sz w:val="24"/>
        </w:rPr>
        <w:t>名称：中国邮政储蓄银行股份有限公司</w:t>
      </w:r>
    </w:p>
    <w:p>
      <w:pPr>
        <w:spacing w:line="360" w:lineRule="auto"/>
        <w:ind w:firstLine="480" w:firstLineChars="200"/>
        <w:rPr>
          <w:bCs/>
          <w:sz w:val="24"/>
        </w:rPr>
      </w:pPr>
      <w:r>
        <w:rPr>
          <w:rFonts w:hint="eastAsia"/>
          <w:bCs/>
          <w:sz w:val="24"/>
        </w:rPr>
        <w:t>住所：北京市西城区金融大街3号</w:t>
      </w:r>
    </w:p>
    <w:p>
      <w:pPr>
        <w:spacing w:line="360" w:lineRule="auto"/>
        <w:ind w:firstLine="480" w:firstLineChars="200"/>
        <w:rPr>
          <w:bCs/>
          <w:sz w:val="24"/>
        </w:rPr>
      </w:pPr>
      <w:r>
        <w:rPr>
          <w:rFonts w:hint="eastAsia"/>
          <w:bCs/>
          <w:sz w:val="24"/>
        </w:rPr>
        <w:t>办公地址：北京市西城区金融大街3号A座</w:t>
      </w:r>
    </w:p>
    <w:p>
      <w:pPr>
        <w:spacing w:line="360" w:lineRule="auto"/>
        <w:ind w:firstLine="480" w:firstLineChars="200"/>
        <w:rPr>
          <w:bCs/>
          <w:sz w:val="24"/>
        </w:rPr>
      </w:pPr>
      <w:r>
        <w:rPr>
          <w:rFonts w:hint="eastAsia"/>
          <w:bCs/>
          <w:sz w:val="24"/>
        </w:rPr>
        <w:t>邮政编码：100808</w:t>
      </w:r>
    </w:p>
    <w:p>
      <w:pPr>
        <w:spacing w:line="360" w:lineRule="auto"/>
        <w:ind w:firstLine="480" w:firstLineChars="200"/>
        <w:rPr>
          <w:bCs/>
          <w:sz w:val="24"/>
        </w:rPr>
      </w:pPr>
      <w:r>
        <w:rPr>
          <w:rFonts w:hint="eastAsia"/>
          <w:bCs/>
          <w:sz w:val="24"/>
        </w:rPr>
        <w:t>法定代表人：张金良</w:t>
      </w:r>
    </w:p>
    <w:p>
      <w:pPr>
        <w:spacing w:line="360" w:lineRule="auto"/>
        <w:ind w:firstLine="480" w:firstLineChars="200"/>
        <w:rPr>
          <w:bCs/>
          <w:sz w:val="24"/>
        </w:rPr>
      </w:pPr>
      <w:r>
        <w:rPr>
          <w:rFonts w:hint="eastAsia"/>
          <w:bCs/>
          <w:sz w:val="24"/>
        </w:rPr>
        <w:t>成立时间：2007年3月6日</w:t>
      </w:r>
    </w:p>
    <w:p>
      <w:pPr>
        <w:spacing w:line="360" w:lineRule="auto"/>
        <w:ind w:firstLine="480" w:firstLineChars="200"/>
        <w:rPr>
          <w:bCs/>
          <w:sz w:val="24"/>
        </w:rPr>
      </w:pPr>
      <w:r>
        <w:rPr>
          <w:rFonts w:hint="eastAsia"/>
          <w:bCs/>
          <w:sz w:val="24"/>
        </w:rPr>
        <w:t>批准设立机关及批准设立文号：中国银监会银监复[2006]484号</w:t>
      </w:r>
    </w:p>
    <w:p>
      <w:pPr>
        <w:spacing w:line="360" w:lineRule="auto"/>
        <w:ind w:firstLine="480" w:firstLineChars="200"/>
        <w:rPr>
          <w:bCs/>
          <w:sz w:val="24"/>
        </w:rPr>
      </w:pPr>
      <w:r>
        <w:rPr>
          <w:rFonts w:hint="eastAsia"/>
          <w:bCs/>
          <w:sz w:val="24"/>
        </w:rPr>
        <w:t>基金托管业务批准文号：证监许可[2009]673号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 xml:space="preserve">注册资本： </w:t>
      </w:r>
      <w:bookmarkStart w:id="159" w:name="_Hlk8911489"/>
      <w:r>
        <w:rPr>
          <w:rFonts w:hint="eastAsia"/>
          <w:bCs/>
          <w:sz w:val="24"/>
        </w:rPr>
        <w:t>810.31亿元人民币</w:t>
      </w:r>
      <w:bookmarkEnd w:id="159"/>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bookmarkStart w:id="160" w:name="_Toc15118240"/>
      <w:r>
        <w:rPr>
          <w:bCs/>
          <w:sz w:val="24"/>
        </w:rPr>
        <w:t>（二）基金托管人的权利与义务</w:t>
      </w:r>
      <w:bookmarkEnd w:id="16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w:t>
      </w:r>
      <w:r>
        <w:rPr>
          <w:rFonts w:hint="eastAsia"/>
          <w:bCs/>
          <w:sz w:val="24"/>
        </w:rPr>
        <w:t>、</w:t>
      </w:r>
      <w:r>
        <w:rPr>
          <w:bCs/>
          <w:sz w:val="24"/>
        </w:rPr>
        <w:t>期货交易资金清算。</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rFonts w:hint="eastAsia"/>
          <w:bCs/>
          <w:sz w:val="24"/>
        </w:rPr>
        <w:t>（</w:t>
      </w:r>
      <w:r>
        <w:rPr>
          <w:bCs/>
          <w:sz w:val="24"/>
        </w:rPr>
        <w:t>1</w:t>
      </w:r>
      <w:r>
        <w:rPr>
          <w:rFonts w:hint="eastAsia"/>
          <w:bCs/>
          <w:sz w:val="24"/>
        </w:rPr>
        <w:t>）以诚实信用、勤勉尽责的原则持有并安全保管基金财产，不对处于托管人实际控制之外的财产承担保管责任；</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w:t>
      </w:r>
      <w:r>
        <w:rPr>
          <w:rFonts w:hint="eastAsia"/>
          <w:bCs/>
          <w:sz w:val="24"/>
        </w:rPr>
        <w:t>、《托管协议》</w:t>
      </w:r>
      <w:r>
        <w:rPr>
          <w:bCs/>
          <w:sz w:val="24"/>
        </w:rPr>
        <w:t>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w:t>
      </w:r>
      <w:r>
        <w:rPr>
          <w:bCs/>
          <w:sz w:val="24"/>
        </w:rPr>
        <w:t>按照《基金合同》</w:t>
      </w:r>
      <w:r>
        <w:rPr>
          <w:rFonts w:hint="eastAsia"/>
          <w:bCs/>
          <w:sz w:val="24"/>
        </w:rPr>
        <w:t>及《托管协议》</w:t>
      </w:r>
      <w:r>
        <w:rPr>
          <w:bCs/>
          <w:sz w:val="24"/>
        </w:rPr>
        <w:t>的约定，根据基金管理人的投资指令，及时办理清算、交割事宜；</w:t>
      </w:r>
    </w:p>
    <w:p>
      <w:pPr>
        <w:spacing w:line="360" w:lineRule="auto"/>
        <w:ind w:firstLine="480" w:firstLineChars="200"/>
        <w:rPr>
          <w:bCs/>
          <w:sz w:val="24"/>
        </w:rPr>
      </w:pPr>
      <w:r>
        <w:rPr>
          <w:bCs/>
          <w:sz w:val="24"/>
        </w:rPr>
        <w:t>（7）保守基金商业秘密，除《基金法》、《基金合同》</w:t>
      </w:r>
      <w:r>
        <w:rPr>
          <w:rFonts w:hint="eastAsia"/>
          <w:bCs/>
          <w:sz w:val="24"/>
        </w:rPr>
        <w:t>、《托管协议》</w:t>
      </w:r>
      <w:r>
        <w:rPr>
          <w:bCs/>
          <w:sz w:val="24"/>
        </w:rPr>
        <w:t>及其他有关规定另有规定外，在基金信息公开披露前予以保密，不得向他人泄露</w:t>
      </w:r>
      <w:r>
        <w:rPr>
          <w:rFonts w:hint="eastAsia"/>
          <w:bCs/>
          <w:sz w:val="24"/>
        </w:rPr>
        <w:t>，向其聘请的审计、法律等外部专业顾问提供的除外，但应确保该等审计、法律等外部专业顾问有关人员同时遵守保密义务</w:t>
      </w:r>
      <w:r>
        <w:rPr>
          <w:bCs/>
          <w:sz w:val="24"/>
        </w:rPr>
        <w:t xml:space="preserve">； </w:t>
      </w:r>
    </w:p>
    <w:p>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w:t>
      </w:r>
      <w:r>
        <w:rPr>
          <w:rFonts w:hint="eastAsia"/>
          <w:bCs/>
          <w:sz w:val="24"/>
        </w:rPr>
        <w:t>及《托管协议》</w:t>
      </w:r>
      <w:r>
        <w:rPr>
          <w:bCs/>
          <w:sz w:val="24"/>
        </w:rPr>
        <w:t>的规定进行；如果基金管理人有未执行《基金合同》</w:t>
      </w:r>
      <w:r>
        <w:rPr>
          <w:rFonts w:hint="eastAsia"/>
          <w:bCs/>
          <w:sz w:val="24"/>
        </w:rPr>
        <w:t>及《托管协议》</w:t>
      </w:r>
      <w:r>
        <w:rPr>
          <w:bCs/>
          <w:sz w:val="24"/>
        </w:rPr>
        <w:t>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15</w:t>
      </w:r>
      <w:r>
        <w:rPr>
          <w:bCs/>
          <w:sz w:val="24"/>
        </w:rPr>
        <w:t>年以上；</w:t>
      </w:r>
    </w:p>
    <w:p>
      <w:pPr>
        <w:spacing w:line="360" w:lineRule="auto"/>
        <w:ind w:firstLine="480" w:firstLineChars="200"/>
        <w:rPr>
          <w:bCs/>
          <w:sz w:val="24"/>
        </w:rPr>
      </w:pPr>
      <w:r>
        <w:rPr>
          <w:bCs/>
          <w:sz w:val="24"/>
        </w:rPr>
        <w:t>（12）</w:t>
      </w:r>
      <w:r>
        <w:rPr>
          <w:rFonts w:hint="eastAsia"/>
          <w:bCs/>
          <w:sz w:val="24"/>
        </w:rPr>
        <w:t>从基金管理人或其委托的登记机构处接收</w:t>
      </w:r>
      <w:r>
        <w:rPr>
          <w:bCs/>
          <w:sz w:val="24"/>
        </w:rPr>
        <w:t>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w:t>
      </w:r>
      <w:r>
        <w:rPr>
          <w:rFonts w:hint="eastAsia"/>
          <w:bCs/>
          <w:sz w:val="24"/>
        </w:rPr>
        <w:t>及《托管协议》</w:t>
      </w:r>
      <w:r>
        <w:rPr>
          <w:bCs/>
          <w:sz w:val="24"/>
        </w:rPr>
        <w:t>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w:t>
      </w:r>
      <w:r>
        <w:rPr>
          <w:rFonts w:hint="eastAsia"/>
          <w:bCs/>
          <w:sz w:val="24"/>
        </w:rPr>
        <w:t>及《托管协议》</w:t>
      </w:r>
      <w:r>
        <w:rPr>
          <w:bCs/>
          <w:sz w:val="24"/>
        </w:rPr>
        <w:t>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62" w:name="_Toc523711670"/>
      <w:r>
        <w:rPr>
          <w:bCs/>
          <w:sz w:val="24"/>
        </w:rPr>
        <w:t>法律法规及中国证监会规定的和《基金合同》约定的其他义务。</w:t>
      </w:r>
    </w:p>
    <w:bookmarkEnd w:id="162"/>
    <w:p>
      <w:pPr>
        <w:spacing w:line="360" w:lineRule="auto"/>
        <w:ind w:firstLine="480" w:firstLineChars="200"/>
        <w:rPr>
          <w:bCs/>
          <w:sz w:val="24"/>
        </w:rPr>
      </w:pPr>
      <w:bookmarkStart w:id="163" w:name="_Toc79392582"/>
      <w:r>
        <w:rPr>
          <w:bCs/>
          <w:sz w:val="24"/>
        </w:rPr>
        <w:t>三、基金份额持有人</w:t>
      </w:r>
      <w:bookmarkEnd w:id="16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5" w:name="_Hlt88825574"/>
      <w:bookmarkEnd w:id="165"/>
    </w:p>
    <w:p>
      <w:pPr>
        <w:spacing w:line="360" w:lineRule="auto"/>
        <w:ind w:firstLine="480" w:firstLineChars="200"/>
        <w:rPr>
          <w:bCs/>
          <w:sz w:val="24"/>
        </w:rPr>
      </w:pPr>
      <w:r>
        <w:rPr>
          <w:bCs/>
          <w:sz w:val="24"/>
        </w:rPr>
        <w:t>（3）</w:t>
      </w:r>
      <w:r>
        <w:rPr>
          <w:rFonts w:hint="eastAsia"/>
          <w:bCs/>
          <w:sz w:val="24"/>
        </w:rPr>
        <w:t>在</w:t>
      </w:r>
      <w:r>
        <w:rPr>
          <w:bCs/>
          <w:sz w:val="24"/>
        </w:rPr>
        <w:t>开放期内，依法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w:t>
      </w:r>
      <w:r>
        <w:rPr>
          <w:rFonts w:hint="eastAsia"/>
          <w:bCs/>
          <w:sz w:val="24"/>
        </w:rPr>
        <w:t>基金份额持有人大会或者召集基金份额持有人大会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bCs/>
          <w:sz w:val="24"/>
        </w:rPr>
        <w:t>（9）法律法规及中国证监会规定的和《基金合同》约定的其他义务</w:t>
      </w:r>
      <w:r>
        <w:rPr>
          <w:rFonts w:hint="eastAsia"/>
          <w:bCs/>
          <w:sz w:val="24"/>
        </w:rPr>
        <w:t>；</w:t>
      </w:r>
    </w:p>
    <w:p>
      <w:pPr>
        <w:spacing w:line="360" w:lineRule="auto"/>
        <w:ind w:firstLine="480" w:firstLineChars="200"/>
        <w:rPr>
          <w:bCs/>
          <w:sz w:val="24"/>
        </w:rPr>
      </w:pPr>
      <w:r>
        <w:rPr>
          <w:rFonts w:hint="eastAsia"/>
          <w:bCs/>
          <w:sz w:val="24"/>
        </w:rPr>
        <w:t>（1</w:t>
      </w:r>
      <w:r>
        <w:rPr>
          <w:bCs/>
          <w:sz w:val="24"/>
        </w:rPr>
        <w:t>0</w:t>
      </w:r>
      <w:r>
        <w:rPr>
          <w:rFonts w:hint="eastAsia"/>
          <w:bCs/>
          <w:sz w:val="24"/>
        </w:rPr>
        <w:t>）发起资金提供方使用发起资金认购的金额不少于1000万，且持有认购的基金份额的期限自基金合同生效之日起不少于3年。</w:t>
      </w:r>
    </w:p>
    <w:p>
      <w:pPr>
        <w:pStyle w:val="2"/>
        <w:spacing w:before="0" w:after="0"/>
        <w:jc w:val="center"/>
        <w:rPr>
          <w:rFonts w:ascii="Times New Roman"/>
          <w:color w:val="auto"/>
          <w:sz w:val="30"/>
        </w:rPr>
      </w:pPr>
      <w:r>
        <w:rPr>
          <w:rFonts w:ascii="Times New Roman"/>
          <w:b w:val="0"/>
          <w:bCs/>
          <w:color w:val="auto"/>
        </w:rPr>
        <w:br w:type="page"/>
      </w:r>
      <w:bookmarkStart w:id="166" w:name="_Toc7058"/>
      <w:bookmarkStart w:id="167" w:name="_Toc6447"/>
      <w:bookmarkStart w:id="168" w:name="_Toc11030"/>
      <w:bookmarkStart w:id="169" w:name="_Toc3321"/>
      <w:bookmarkStart w:id="170" w:name="_Toc18567"/>
      <w:bookmarkStart w:id="171" w:name="_Toc123102455"/>
      <w:bookmarkStart w:id="172" w:name="_Toc4559"/>
      <w:bookmarkStart w:id="173" w:name="_Toc79392583"/>
      <w:bookmarkStart w:id="174" w:name="_Toc20768"/>
      <w:bookmarkStart w:id="175" w:name="_Toc141703888"/>
      <w:bookmarkStart w:id="176" w:name="_Toc3771"/>
      <w:bookmarkStart w:id="177" w:name="_Toc123112236"/>
      <w:bookmarkStart w:id="178" w:name="_Toc98560354"/>
      <w:bookmarkStart w:id="179" w:name="_Toc9706"/>
      <w:bookmarkStart w:id="180" w:name="_Toc139991738"/>
      <w:bookmarkStart w:id="181" w:name="_Toc25783"/>
      <w:bookmarkStart w:id="182" w:name="_Toc123051454"/>
      <w:bookmarkStart w:id="183" w:name="_Toc10650"/>
      <w:bookmarkStart w:id="184" w:name="_Toc519229404"/>
      <w:r>
        <w:rPr>
          <w:rFonts w:ascii="Times New Roman"/>
          <w:color w:val="auto"/>
          <w:sz w:val="30"/>
        </w:rPr>
        <w:t>第</w:t>
      </w:r>
      <w:r>
        <w:rPr>
          <w:rFonts w:hint="eastAsia" w:ascii="Times New Roman"/>
          <w:color w:val="auto"/>
          <w:sz w:val="30"/>
        </w:rPr>
        <w:t>八</w:t>
      </w:r>
      <w:r>
        <w:rPr>
          <w:rFonts w:ascii="Times New Roman"/>
          <w:color w:val="auto"/>
          <w:sz w:val="30"/>
        </w:rPr>
        <w:t>部分  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本基金的基金份额持有人大会不设立日常机构。</w:t>
      </w:r>
    </w:p>
    <w:p>
      <w:pPr>
        <w:spacing w:line="360" w:lineRule="auto"/>
        <w:ind w:firstLine="480" w:firstLineChars="200"/>
        <w:rPr>
          <w:bCs/>
          <w:sz w:val="24"/>
        </w:rPr>
      </w:pPr>
      <w:bookmarkStart w:id="185" w:name="_Toc57530243"/>
      <w:bookmarkStart w:id="186" w:name="_Toc79392584"/>
      <w:bookmarkStart w:id="187" w:name="_Toc15641220"/>
      <w:r>
        <w:rPr>
          <w:bCs/>
          <w:sz w:val="24"/>
        </w:rPr>
        <w:t>一、召开事由</w:t>
      </w:r>
      <w:bookmarkEnd w:id="185"/>
      <w:bookmarkEnd w:id="186"/>
      <w:bookmarkEnd w:id="187"/>
    </w:p>
    <w:p>
      <w:pPr>
        <w:spacing w:line="360" w:lineRule="auto"/>
        <w:ind w:firstLine="480" w:firstLineChars="200"/>
        <w:rPr>
          <w:bCs/>
          <w:sz w:val="24"/>
        </w:rPr>
      </w:pPr>
      <w:r>
        <w:rPr>
          <w:bCs/>
          <w:sz w:val="24"/>
        </w:rPr>
        <w:t>1、</w:t>
      </w:r>
      <w:r>
        <w:rPr>
          <w:rFonts w:hint="eastAsia"/>
          <w:bCs/>
          <w:sz w:val="24"/>
        </w:rPr>
        <w:t>除法律法规、中国证监会另有规定</w:t>
      </w:r>
      <w:r>
        <w:rPr>
          <w:rFonts w:hint="eastAsia" w:ascii="Arial" w:hAnsi="Arial" w:cs="Arial"/>
          <w:bCs/>
          <w:sz w:val="24"/>
        </w:rPr>
        <w:t>或基金合同另有约定</w:t>
      </w:r>
      <w:r>
        <w:rPr>
          <w:rFonts w:hint="eastAsia"/>
          <w:bCs/>
          <w:sz w:val="24"/>
        </w:rPr>
        <w:t>外，</w:t>
      </w:r>
      <w:r>
        <w:rPr>
          <w:bCs/>
          <w:sz w:val="24"/>
        </w:rPr>
        <w:t>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w:t>
      </w:r>
      <w:r>
        <w:rPr>
          <w:bCs/>
          <w:sz w:val="24"/>
        </w:rPr>
        <w:t>不</w:t>
      </w:r>
      <w:r>
        <w:rPr>
          <w:rFonts w:hint="eastAsia"/>
          <w:bCs/>
          <w:sz w:val="24"/>
        </w:rPr>
        <w:t>违反法律法规规定和《基金合同》约定且对基金份额持有人利益无实质性不利影响的前提下，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）调整本基金的申购费率</w:t>
      </w:r>
      <w:r>
        <w:rPr>
          <w:rFonts w:hint="eastAsia"/>
          <w:bCs/>
          <w:sz w:val="24"/>
        </w:rPr>
        <w:t>、</w:t>
      </w:r>
      <w:r>
        <w:rPr>
          <w:bCs/>
          <w:sz w:val="24"/>
        </w:rPr>
        <w:t>调低赎回费率</w:t>
      </w:r>
      <w:r>
        <w:rPr>
          <w:rFonts w:hint="eastAsia"/>
          <w:bCs/>
          <w:sz w:val="24"/>
        </w:rPr>
        <w:t>或变更收费方式</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pPr>
        <w:spacing w:line="360" w:lineRule="auto"/>
        <w:ind w:firstLine="480" w:firstLineChars="200"/>
        <w:rPr>
          <w:bCs/>
          <w:sz w:val="24"/>
        </w:rPr>
      </w:pPr>
      <w:r>
        <w:rPr>
          <w:rFonts w:hint="eastAsia"/>
          <w:bCs/>
          <w:sz w:val="24"/>
        </w:rPr>
        <w:t>（5）基金推出新业务或服务，或调整基金份额类别设置；</w:t>
      </w:r>
    </w:p>
    <w:p>
      <w:pPr>
        <w:spacing w:line="360" w:lineRule="auto"/>
        <w:ind w:firstLine="480" w:firstLineChars="200"/>
        <w:rPr>
          <w:bCs/>
          <w:sz w:val="24"/>
        </w:rPr>
      </w:pPr>
      <w:r>
        <w:rPr>
          <w:rFonts w:hint="eastAsia"/>
          <w:bCs/>
          <w:sz w:val="24"/>
        </w:rPr>
        <w:t>（6）</w:t>
      </w:r>
      <w:r>
        <w:rPr>
          <w:bCs/>
          <w:sz w:val="24"/>
        </w:rPr>
        <w:t>基金管理人、登记机构、基金销售机构在法律法规规定或中国证监会许可的范围内调整有关认购、申购、赎回、转换、基金交易、非交易过户、转托管等业务规则；</w:t>
      </w:r>
    </w:p>
    <w:p>
      <w:pPr>
        <w:spacing w:line="360" w:lineRule="auto"/>
        <w:ind w:firstLine="480" w:firstLineChars="200"/>
        <w:rPr>
          <w:rFonts w:ascii="Arial" w:hAnsi="Arial" w:cs="Arial"/>
          <w:bCs/>
          <w:sz w:val="24"/>
        </w:rPr>
      </w:pPr>
      <w:r>
        <w:rPr>
          <w:rFonts w:ascii="Arial" w:hAnsi="Arial" w:cs="Arial"/>
          <w:bCs/>
          <w:sz w:val="24"/>
        </w:rPr>
        <w:t>（7）</w:t>
      </w:r>
      <w:r>
        <w:rPr>
          <w:rFonts w:hint="eastAsia" w:ascii="Arial" w:hAnsi="Arial" w:cs="Arial"/>
          <w:bCs/>
          <w:sz w:val="24"/>
        </w:rPr>
        <w:t>调整基金收益的分配原则和支付方式；</w:t>
      </w:r>
    </w:p>
    <w:p>
      <w:pPr>
        <w:spacing w:line="360" w:lineRule="auto"/>
        <w:ind w:firstLine="480" w:firstLineChars="200"/>
        <w:rPr>
          <w:bCs/>
          <w:sz w:val="24"/>
        </w:rPr>
      </w:pPr>
      <w:r>
        <w:rPr>
          <w:rFonts w:hint="eastAsia"/>
          <w:bCs/>
          <w:sz w:val="24"/>
        </w:rPr>
        <w:t>（</w:t>
      </w:r>
      <w:r>
        <w:rPr>
          <w:bCs/>
          <w:sz w:val="24"/>
        </w:rPr>
        <w:t>8）按照法律法规和《基金合同》规定不需召开基金份额持有人大会</w:t>
      </w:r>
      <w:r>
        <w:rPr>
          <w:rFonts w:hint="eastAsia"/>
          <w:bCs/>
          <w:sz w:val="24"/>
        </w:rPr>
        <w:t>的</w:t>
      </w:r>
      <w:r>
        <w:rPr>
          <w:bCs/>
          <w:sz w:val="24"/>
        </w:rPr>
        <w:t>其他情形。</w:t>
      </w:r>
    </w:p>
    <w:p>
      <w:pPr>
        <w:spacing w:line="360" w:lineRule="auto"/>
        <w:ind w:firstLine="480" w:firstLineChars="20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pPr>
        <w:spacing w:line="360" w:lineRule="auto"/>
        <w:ind w:firstLine="480" w:firstLineChars="200"/>
        <w:rPr>
          <w:bCs/>
          <w:sz w:val="24"/>
        </w:rPr>
      </w:pPr>
      <w:bookmarkStart w:id="191" w:name="_Toc15641222"/>
      <w:bookmarkStart w:id="192" w:name="_Toc57530245"/>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3" w:name="_Toc79392586"/>
      <w:r>
        <w:rPr>
          <w:bCs/>
          <w:sz w:val="24"/>
        </w:rPr>
        <w:t>三、召开基金份额持有人大会的通知时间、通知内容、通知方式</w:t>
      </w:r>
      <w:bookmarkEnd w:id="191"/>
      <w:bookmarkEnd w:id="192"/>
      <w:bookmarkEnd w:id="193"/>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80" w:firstLineChars="200"/>
        <w:rPr>
          <w:bCs/>
          <w:sz w:val="24"/>
        </w:rPr>
      </w:pPr>
      <w:bookmarkStart w:id="194" w:name="_Toc79392587"/>
      <w:bookmarkStart w:id="195" w:name="_Toc15641223"/>
      <w:bookmarkStart w:id="196" w:name="_Toc57530246"/>
      <w:r>
        <w:rPr>
          <w:bCs/>
          <w:sz w:val="24"/>
        </w:rPr>
        <w:t>四、基金份额持有人出席会议的方式</w:t>
      </w:r>
      <w:bookmarkEnd w:id="194"/>
      <w:bookmarkEnd w:id="195"/>
      <w:bookmarkEnd w:id="196"/>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r>
        <w:rPr>
          <w:rFonts w:hint="eastAsia"/>
          <w:bCs/>
          <w:sz w:val="24"/>
        </w:rPr>
        <w:t>基金管理人、基金托管人须为基金份额持有人行使投票权提供便利。</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或基金合同约定的其他方式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sz w:val="24"/>
        </w:rPr>
      </w:pPr>
      <w:r>
        <w:rPr>
          <w:bCs/>
          <w:sz w:val="24"/>
        </w:rPr>
        <w:t>（3）本人直接出具书面意见或授权他人代表出具书面意见的，基金份额持有人所持有的基金份额不小于在权益登记日基金总份额的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pPr>
        <w:spacing w:line="360" w:lineRule="auto"/>
        <w:ind w:firstLine="480" w:firstLineChars="200"/>
        <w:rPr>
          <w:bCs/>
          <w:sz w:val="24"/>
        </w:rPr>
      </w:pPr>
      <w:r>
        <w:rPr>
          <w:bCs/>
          <w:sz w:val="24"/>
        </w:rPr>
        <w:t>3、在法律法规</w:t>
      </w:r>
      <w:r>
        <w:rPr>
          <w:rFonts w:hint="eastAsia"/>
          <w:bCs/>
          <w:sz w:val="24"/>
        </w:rPr>
        <w:t>及监管机构允许的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bCs/>
          <w:sz w:val="24"/>
        </w:rPr>
        <w:t>4、基金份额持有人授权他人代为出席会议并表决的，在</w:t>
      </w:r>
      <w:r>
        <w:rPr>
          <w:rFonts w:hint="eastAsia"/>
          <w:bCs/>
          <w:sz w:val="24"/>
        </w:rPr>
        <w:t>法律法规及监管机构允许</w:t>
      </w:r>
      <w:r>
        <w:rPr>
          <w:bCs/>
          <w:sz w:val="24"/>
        </w:rPr>
        <w:t>的前提下</w:t>
      </w:r>
      <w:r>
        <w:rPr>
          <w:rFonts w:hint="eastAsia"/>
          <w:bCs/>
          <w:sz w:val="24"/>
        </w:rPr>
        <w:t>，</w:t>
      </w:r>
      <w:r>
        <w:rPr>
          <w:bCs/>
          <w:sz w:val="24"/>
        </w:rPr>
        <w:t>授权方式可以采用书面、网络、电话、短信或其他方式，具体方式在会议通知中列明。</w:t>
      </w:r>
    </w:p>
    <w:p>
      <w:pPr>
        <w:spacing w:line="360" w:lineRule="auto"/>
        <w:ind w:firstLine="480" w:firstLineChars="200"/>
        <w:rPr>
          <w:bCs/>
          <w:sz w:val="24"/>
        </w:rPr>
      </w:pPr>
      <w:bookmarkStart w:id="197" w:name="_Toc57530247"/>
      <w:bookmarkStart w:id="198" w:name="_Toc79392588"/>
      <w:bookmarkStart w:id="199" w:name="_Toc15641224"/>
      <w:r>
        <w:rPr>
          <w:bCs/>
          <w:sz w:val="24"/>
        </w:rPr>
        <w:t>五、议事内容与程序</w:t>
      </w:r>
      <w:bookmarkEnd w:id="197"/>
      <w:bookmarkEnd w:id="198"/>
      <w:bookmarkEnd w:id="199"/>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200" w:name="_Toc57530248"/>
      <w:bookmarkStart w:id="201" w:name="_Toc79392589"/>
      <w:bookmarkStart w:id="202" w:name="_Toc15641225"/>
      <w:r>
        <w:rPr>
          <w:bCs/>
          <w:sz w:val="24"/>
        </w:rPr>
        <w:t>六、表决</w:t>
      </w:r>
      <w:bookmarkEnd w:id="200"/>
      <w:bookmarkEnd w:id="201"/>
      <w:bookmarkEnd w:id="202"/>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3" w:name="_Toc57530249"/>
      <w:bookmarkStart w:id="204" w:name="_Toc15641226"/>
      <w:bookmarkStart w:id="205" w:name="_Toc79392590"/>
      <w:r>
        <w:rPr>
          <w:bCs/>
          <w:sz w:val="24"/>
        </w:rPr>
        <w:t>七、计票</w:t>
      </w:r>
      <w:bookmarkEnd w:id="203"/>
      <w:bookmarkEnd w:id="204"/>
      <w:bookmarkEnd w:id="205"/>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sz w:val="24"/>
        </w:rPr>
        <w:t>。基金管理人或基金托管人拒派代表对书面表决意见的计票进行监督的，不影响计票和表决结果。</w:t>
      </w:r>
    </w:p>
    <w:p>
      <w:pPr>
        <w:spacing w:line="360" w:lineRule="auto"/>
        <w:ind w:firstLine="480" w:firstLineChars="200"/>
        <w:rPr>
          <w:bCs/>
          <w:sz w:val="24"/>
        </w:rPr>
      </w:pPr>
      <w:r>
        <w:rPr>
          <w:bCs/>
          <w:sz w:val="24"/>
        </w:rPr>
        <w:t>八、生效与公告</w:t>
      </w:r>
      <w:bookmarkEnd w:id="206"/>
      <w:bookmarkEnd w:id="207"/>
      <w:bookmarkEnd w:id="208"/>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10" w:name="_Toc3963"/>
      <w:bookmarkStart w:id="211" w:name="_Toc1745"/>
      <w:bookmarkStart w:id="212" w:name="_Toc18769"/>
    </w:p>
    <w:p>
      <w:pPr>
        <w:spacing w:line="360" w:lineRule="auto"/>
        <w:ind w:firstLine="480" w:firstLineChars="200"/>
        <w:rPr>
          <w:bCs/>
          <w:sz w:val="24"/>
        </w:rPr>
      </w:pPr>
      <w:r>
        <w:rPr>
          <w:rFonts w:hint="eastAsia"/>
          <w:bCs/>
          <w:sz w:val="24"/>
        </w:rPr>
        <w:t>九、实施侧袋机制期间基金份额持有人大会的特殊约定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pPr>
        <w:spacing w:line="360" w:lineRule="auto"/>
        <w:ind w:firstLine="480" w:firstLineChars="200"/>
        <w:rPr>
          <w:bCs/>
          <w:sz w:val="24"/>
        </w:rPr>
      </w:pPr>
      <w:r>
        <w:rPr>
          <w:bCs/>
          <w:sz w:val="24"/>
        </w:rPr>
        <w:t>2</w:t>
      </w:r>
      <w:r>
        <w:rPr>
          <w:rFonts w:hint="eastAsia"/>
          <w:bCs/>
          <w:sz w:val="24"/>
        </w:rPr>
        <w:t>、现场开会的到会者在权益登记日代表的基金份额不少于本基金在权益登记日相关基金份额的二分之一（含二分之一）；</w:t>
      </w:r>
    </w:p>
    <w:p>
      <w:pPr>
        <w:spacing w:line="360" w:lineRule="auto"/>
        <w:ind w:firstLine="480" w:firstLineChars="200"/>
        <w:rPr>
          <w:bCs/>
          <w:sz w:val="24"/>
        </w:rPr>
      </w:pPr>
      <w:r>
        <w:rPr>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pPr>
        <w:spacing w:line="360" w:lineRule="auto"/>
        <w:ind w:firstLine="480" w:firstLineChars="200"/>
        <w:rPr>
          <w:bCs/>
          <w:sz w:val="24"/>
        </w:rPr>
      </w:pPr>
      <w:r>
        <w:rPr>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pPr>
        <w:spacing w:line="360" w:lineRule="auto"/>
        <w:ind w:firstLine="480" w:firstLineChars="200"/>
        <w:rPr>
          <w:bCs/>
          <w:sz w:val="24"/>
        </w:rPr>
      </w:pPr>
      <w:r>
        <w:rPr>
          <w:bCs/>
          <w:sz w:val="24"/>
        </w:rPr>
        <w:t>6</w:t>
      </w:r>
      <w:r>
        <w:rPr>
          <w:rFonts w:hint="eastAsia"/>
          <w:bCs/>
          <w:sz w:val="24"/>
        </w:rPr>
        <w:t>、一般决议须经参加大会的基金份额持有人或其代理人所持表决权的二分之一以上（含二分之一）通过；</w:t>
      </w:r>
    </w:p>
    <w:p>
      <w:pPr>
        <w:spacing w:line="360" w:lineRule="auto"/>
        <w:ind w:firstLine="480" w:firstLineChars="200"/>
        <w:rPr>
          <w:bCs/>
          <w:sz w:val="24"/>
        </w:rPr>
      </w:pPr>
      <w:r>
        <w:rPr>
          <w:bCs/>
          <w:sz w:val="24"/>
        </w:rPr>
        <w:t>7</w:t>
      </w:r>
      <w:r>
        <w:rPr>
          <w:rFonts w:hint="eastAsia"/>
          <w:bCs/>
          <w:sz w:val="24"/>
        </w:rPr>
        <w:t>、特别决议应当经参加大会的基金份额持有人或其代理人所持表决权的三分之二以上（含三分之二）通过。</w:t>
      </w:r>
    </w:p>
    <w:p>
      <w:pPr>
        <w:spacing w:line="360" w:lineRule="auto"/>
        <w:ind w:firstLine="480" w:firstLineChars="200"/>
        <w:rPr>
          <w:b/>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pPr>
        <w:pStyle w:val="2"/>
        <w:jc w:val="center"/>
        <w:rPr>
          <w:rFonts w:ascii="Times New Roman"/>
          <w:color w:val="auto"/>
        </w:rPr>
      </w:pPr>
      <w:r>
        <w:rPr>
          <w:rFonts w:ascii="Times New Roman"/>
          <w:b w:val="0"/>
          <w:bCs/>
          <w:color w:val="auto"/>
        </w:rPr>
        <w:br w:type="page"/>
      </w:r>
      <w:bookmarkStart w:id="213" w:name="_Toc123112237"/>
      <w:bookmarkStart w:id="214" w:name="_Toc725"/>
      <w:bookmarkStart w:id="215" w:name="_Toc21735"/>
      <w:bookmarkStart w:id="216" w:name="_Toc10398"/>
      <w:bookmarkStart w:id="217" w:name="_Toc141703889"/>
      <w:bookmarkStart w:id="218" w:name="_Toc3080"/>
      <w:bookmarkStart w:id="219" w:name="_Toc123051455"/>
      <w:bookmarkStart w:id="220" w:name="_Toc139991739"/>
      <w:bookmarkStart w:id="221" w:name="_Toc18206"/>
      <w:bookmarkStart w:id="222" w:name="_Toc123102456"/>
      <w:bookmarkStart w:id="223" w:name="_Toc3572"/>
      <w:bookmarkStart w:id="224" w:name="_Toc16164"/>
      <w:bookmarkStart w:id="225" w:name="_Toc519229405"/>
      <w:bookmarkStart w:id="226" w:name="_Toc31821"/>
      <w:bookmarkStart w:id="227" w:name="_Toc98560355"/>
      <w:r>
        <w:rPr>
          <w:rFonts w:hint="eastAsia" w:ascii="Times New Roman"/>
          <w:color w:val="auto"/>
          <w:sz w:val="30"/>
        </w:rPr>
        <w:t>第九部分</w:t>
      </w:r>
      <w:r>
        <w:rPr>
          <w:rFonts w:ascii="Times New Roman"/>
          <w:color w:val="auto"/>
          <w:sz w:val="30"/>
        </w:rPr>
        <w:t xml:space="preserve">  </w:t>
      </w:r>
      <w:r>
        <w:rPr>
          <w:rFonts w:hint="eastAsia"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autoSpaceDE w:val="0"/>
        <w:autoSpaceDN w:val="0"/>
        <w:spacing w:line="360" w:lineRule="auto"/>
        <w:textAlignment w:val="bottom"/>
        <w:rPr>
          <w:bCs/>
          <w:sz w:val="24"/>
        </w:rPr>
      </w:pPr>
      <w:bookmarkStart w:id="228" w:name="_Toc79392593"/>
      <w:bookmarkStart w:id="229" w:name="_Toc15118245"/>
      <w:bookmarkStart w:id="230" w:name="_Toc57530252"/>
    </w:p>
    <w:p>
      <w:pPr>
        <w:spacing w:line="360" w:lineRule="auto"/>
        <w:ind w:firstLine="480" w:firstLineChars="200"/>
        <w:rPr>
          <w:bCs/>
          <w:sz w:val="24"/>
        </w:rPr>
      </w:pPr>
      <w:r>
        <w:rPr>
          <w:bCs/>
          <w:sz w:val="24"/>
        </w:rPr>
        <w:t>一、基金管理人和基金托管人职责终止的情形</w:t>
      </w:r>
      <w:bookmarkEnd w:id="228"/>
      <w:bookmarkEnd w:id="229"/>
      <w:bookmarkEnd w:id="230"/>
    </w:p>
    <w:p>
      <w:pPr>
        <w:spacing w:line="360" w:lineRule="auto"/>
        <w:ind w:firstLine="480" w:firstLineChars="200"/>
        <w:rPr>
          <w:bCs/>
          <w:sz w:val="24"/>
        </w:rPr>
      </w:pPr>
      <w:bookmarkStart w:id="231" w:name="_Toc22005971"/>
      <w:r>
        <w:rPr>
          <w:bCs/>
          <w:sz w:val="24"/>
        </w:rPr>
        <w:t>（一）</w:t>
      </w:r>
      <w:r>
        <w:rPr>
          <w:bCs/>
          <w:sz w:val="24"/>
        </w:rPr>
        <w:tab/>
      </w:r>
      <w:r>
        <w:rPr>
          <w:bCs/>
          <w:sz w:val="24"/>
        </w:rPr>
        <w:t>基金管理人职责终止的情形</w:t>
      </w:r>
      <w:bookmarkEnd w:id="231"/>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2" w:name="_Toc22005972"/>
      <w:r>
        <w:rPr>
          <w:bCs/>
          <w:sz w:val="24"/>
        </w:rPr>
        <w:t>（二）</w:t>
      </w:r>
      <w:r>
        <w:rPr>
          <w:bCs/>
          <w:sz w:val="24"/>
        </w:rPr>
        <w:tab/>
      </w:r>
      <w:r>
        <w:rPr>
          <w:bCs/>
          <w:sz w:val="24"/>
        </w:rPr>
        <w:t>基金托管人职责终止的情形</w:t>
      </w:r>
      <w:bookmarkEnd w:id="232"/>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3" w:name="_Toc57530253"/>
      <w:bookmarkStart w:id="234" w:name="_Toc15118246"/>
      <w:bookmarkStart w:id="235" w:name="_Toc79392594"/>
      <w:r>
        <w:rPr>
          <w:bCs/>
          <w:sz w:val="24"/>
        </w:rPr>
        <w:t>二、基金管理人和基金托管人的更换程序</w:t>
      </w:r>
      <w:bookmarkEnd w:id="233"/>
      <w:bookmarkEnd w:id="234"/>
      <w:bookmarkEnd w:id="235"/>
    </w:p>
    <w:p>
      <w:pPr>
        <w:spacing w:line="360" w:lineRule="auto"/>
        <w:ind w:firstLine="480" w:firstLineChars="200"/>
        <w:rPr>
          <w:bCs/>
          <w:sz w:val="24"/>
        </w:rPr>
      </w:pPr>
      <w:bookmarkStart w:id="236" w:name="_Toc22005974"/>
      <w:r>
        <w:rPr>
          <w:bCs/>
          <w:sz w:val="24"/>
        </w:rPr>
        <w:t>（一）基金管理人的更换程序</w:t>
      </w:r>
      <w:bookmarkEnd w:id="236"/>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：基金份额持有人大会选任基金管理人的决议</w:t>
      </w:r>
      <w:r>
        <w:rPr>
          <w:rFonts w:hint="eastAsia"/>
          <w:bCs/>
          <w:sz w:val="24"/>
        </w:rPr>
        <w:t>须报中国证监会备案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Pr>
          <w:rFonts w:hint="eastAsia"/>
          <w:bCs/>
          <w:sz w:val="24"/>
        </w:rPr>
        <w:t>和</w:t>
      </w:r>
      <w:r>
        <w:rPr>
          <w:bCs/>
          <w:sz w:val="24"/>
        </w:rPr>
        <w:t>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7" w:name="_Toc22005975"/>
      <w:r>
        <w:rPr>
          <w:bCs/>
          <w:sz w:val="24"/>
        </w:rPr>
        <w:t>（二）基金托管人的更换程序</w:t>
      </w:r>
      <w:bookmarkEnd w:id="237"/>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w:t>
      </w:r>
      <w:r>
        <w:rPr>
          <w:rFonts w:hint="eastAsia"/>
          <w:bCs/>
          <w:sz w:val="24"/>
        </w:rPr>
        <w:t>须报中国证监会备案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38" w:name="_Toc1357"/>
      <w:r>
        <w:rPr>
          <w:bCs/>
          <w:sz w:val="24"/>
        </w:rPr>
        <w:t>（三）基金管理人与基金托管人同时更换的条件和程序。</w:t>
      </w:r>
      <w:bookmarkEnd w:id="238"/>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后2日内在规定媒介上联合公告。</w:t>
      </w:r>
    </w:p>
    <w:p>
      <w:pPr>
        <w:spacing w:line="360" w:lineRule="auto"/>
        <w:ind w:firstLine="480" w:firstLineChars="20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w:t>
      </w:r>
      <w:r>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2"/>
        </w:rPr>
        <w:br w:type="page"/>
      </w:r>
      <w:bookmarkStart w:id="239" w:name="_Toc123112238"/>
      <w:bookmarkStart w:id="240" w:name="_Toc139991740"/>
      <w:bookmarkStart w:id="241" w:name="_Toc141703890"/>
      <w:bookmarkStart w:id="242" w:name="_Toc32584"/>
      <w:bookmarkStart w:id="243" w:name="_Toc5170"/>
      <w:bookmarkStart w:id="244" w:name="_Toc79392622"/>
      <w:bookmarkStart w:id="245" w:name="_Toc48649708"/>
      <w:bookmarkStart w:id="246" w:name="_Toc98560356"/>
      <w:bookmarkStart w:id="247" w:name="_Toc123051456"/>
      <w:bookmarkStart w:id="248" w:name="_Toc21237"/>
      <w:bookmarkStart w:id="249" w:name="_Toc8791"/>
      <w:bookmarkStart w:id="250" w:name="_Toc3329"/>
      <w:bookmarkStart w:id="251" w:name="_Toc123102457"/>
      <w:bookmarkStart w:id="252" w:name="_Toc519229406"/>
      <w:bookmarkStart w:id="253" w:name="_Toc17198"/>
      <w:bookmarkStart w:id="254" w:name="_Toc20976"/>
      <w:bookmarkStart w:id="255" w:name="_Toc32092"/>
      <w:bookmarkStart w:id="256" w:name="_Toc17920"/>
      <w:bookmarkStart w:id="257" w:name="_Toc29408"/>
      <w:bookmarkStart w:id="258" w:name="_Toc739"/>
      <w:r>
        <w:rPr>
          <w:rFonts w:ascii="Times New Roman"/>
          <w:color w:val="auto"/>
          <w:sz w:val="30"/>
        </w:rPr>
        <w:t>第十部分  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9" w:name="_Toc26084"/>
      <w:bookmarkStart w:id="260" w:name="_Toc2255"/>
      <w:bookmarkStart w:id="261" w:name="_Toc26383"/>
      <w:bookmarkStart w:id="262" w:name="_Toc139991741"/>
      <w:bookmarkStart w:id="263" w:name="_Toc123112239"/>
      <w:bookmarkStart w:id="264" w:name="_Toc16789"/>
      <w:bookmarkStart w:id="265" w:name="_Toc48649710"/>
      <w:bookmarkStart w:id="266" w:name="_Toc123102458"/>
      <w:bookmarkStart w:id="267" w:name="_Toc141703891"/>
      <w:bookmarkStart w:id="268" w:name="_Toc98560357"/>
      <w:bookmarkStart w:id="269" w:name="_Toc3244"/>
      <w:bookmarkStart w:id="270" w:name="_Toc79392624"/>
      <w:bookmarkStart w:id="271" w:name="_Toc21886"/>
      <w:bookmarkStart w:id="272" w:name="_Toc19520"/>
      <w:bookmarkStart w:id="273" w:name="_Toc123051457"/>
      <w:bookmarkStart w:id="274" w:name="_Toc519229407"/>
      <w:bookmarkStart w:id="275" w:name="_Toc26152"/>
      <w:bookmarkStart w:id="276" w:name="_Toc31469"/>
      <w:bookmarkStart w:id="277" w:name="_Toc22674"/>
      <w:bookmarkStart w:id="278" w:name="_Toc14725"/>
      <w:r>
        <w:rPr>
          <w:rFonts w:ascii="Times New Roman"/>
          <w:color w:val="auto"/>
          <w:sz w:val="30"/>
        </w:rPr>
        <w:t>第十</w:t>
      </w:r>
      <w:r>
        <w:rPr>
          <w:rFonts w:hint="eastAsia" w:ascii="Times New Roman"/>
          <w:color w:val="auto"/>
          <w:sz w:val="30"/>
        </w:rPr>
        <w:t>一</w:t>
      </w:r>
      <w:r>
        <w:rPr>
          <w:rFonts w:ascii="Times New Roman"/>
          <w:color w:val="auto"/>
          <w:sz w:val="30"/>
        </w:rPr>
        <w:t>部分  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79" w:name="_Hlt88820748"/>
      <w:bookmarkEnd w:id="279"/>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4、在法律法规允许的范围内，对登记业务的办理时间进行调整，并依照有关规定于开始实施前在规定媒介上公告；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r>
        <w:rPr>
          <w:rFonts w:hint="eastAsia"/>
          <w:bCs/>
          <w:sz w:val="24"/>
        </w:rPr>
        <w:t>（基金管理人委托其他机构办理本基金注册登记业务的）</w:t>
      </w:r>
      <w:r>
        <w:rPr>
          <w:bCs/>
          <w:sz w:val="24"/>
        </w:rPr>
        <w:t>；</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80" w:name="_Toc21917"/>
      <w:bookmarkStart w:id="281" w:name="_Toc2981"/>
      <w:bookmarkStart w:id="282" w:name="_Toc22538"/>
      <w:bookmarkStart w:id="283" w:name="_Toc16437"/>
      <w:bookmarkStart w:id="284" w:name="_Toc11351"/>
      <w:bookmarkStart w:id="285" w:name="_Toc5477"/>
      <w:bookmarkStart w:id="286" w:name="_Toc11395"/>
      <w:bookmarkStart w:id="287" w:name="_Toc578"/>
      <w:bookmarkStart w:id="288" w:name="_Toc13343"/>
      <w:bookmarkStart w:id="289" w:name="_Toc801"/>
      <w:bookmarkStart w:id="290" w:name="_Toc519229408"/>
      <w:bookmarkStart w:id="291" w:name="_Toc3872"/>
      <w:r>
        <w:rPr>
          <w:rFonts w:hint="eastAsia" w:ascii="Times New Roman"/>
          <w:color w:val="auto"/>
          <w:sz w:val="30"/>
        </w:rPr>
        <w:t>第十二部分</w:t>
      </w:r>
      <w:r>
        <w:rPr>
          <w:rFonts w:ascii="Times New Roman"/>
          <w:color w:val="auto"/>
          <w:sz w:val="30"/>
        </w:rPr>
        <w:t xml:space="preserve">  </w:t>
      </w:r>
      <w:r>
        <w:rPr>
          <w:rFonts w:hint="eastAsia"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rPr>
          <w:bCs/>
          <w:sz w:val="24"/>
        </w:rPr>
      </w:pPr>
      <w:r>
        <w:rPr>
          <w:rFonts w:hint="eastAsia"/>
          <w:bCs/>
          <w:sz w:val="24"/>
        </w:rPr>
        <w:t>本基金在追求资产长期稳健增值的础上，力争为份额持有人创造超越业绩比较基准的稳定收益。</w:t>
      </w:r>
      <w:r>
        <w:rPr>
          <w:bCs/>
          <w:sz w:val="24"/>
        </w:rPr>
        <w:t xml:space="preserve"> </w:t>
      </w:r>
    </w:p>
    <w:p>
      <w:pPr>
        <w:spacing w:line="360" w:lineRule="auto"/>
        <w:ind w:firstLine="480" w:firstLineChars="200"/>
        <w:rPr>
          <w:bCs/>
          <w:sz w:val="24"/>
        </w:rPr>
      </w:pPr>
      <w:r>
        <w:rPr>
          <w:rFonts w:hint="eastAsia"/>
          <w:bCs/>
          <w:sz w:val="24"/>
        </w:rPr>
        <w:t>二</w:t>
      </w:r>
      <w:r>
        <w:rPr>
          <w:bCs/>
          <w:sz w:val="24"/>
        </w:rPr>
        <w:t>、投资范围</w:t>
      </w:r>
    </w:p>
    <w:p>
      <w:pPr>
        <w:spacing w:line="360" w:lineRule="auto"/>
        <w:ind w:firstLine="480"/>
        <w:rPr>
          <w:bCs/>
          <w:sz w:val="24"/>
        </w:rPr>
      </w:pPr>
      <w:bookmarkStart w:id="292" w:name="OLE_LINK7"/>
      <w:bookmarkStart w:id="293" w:name="OLE_LINK6"/>
      <w:r>
        <w:rPr>
          <w:rFonts w:hint="eastAsia"/>
          <w:bCs/>
          <w:sz w:val="24"/>
        </w:rPr>
        <w:t>本基金的投资范围为具有良好流动性的金融工具，包括债券（包括国债、地方政府债、金融债、企业债、公司债、次级债、可转换债券、可交换债券、分离交易可转债、央行票据、中期票据、短期融资券、超短期融资券等）、股票（包括中小板、创业板及其他中国证监会核准上市的股票）、资产支持证券、银行存款、国债期货、同业存单、债券回购等金融工具，以及法律法规或中国证监会允许基金投资的其他金融工具（但须符合中国证监会相关规定）。</w:t>
      </w:r>
    </w:p>
    <w:p>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rPr>
          <w:bCs/>
          <w:sz w:val="24"/>
        </w:rPr>
      </w:pPr>
      <w:r>
        <w:rPr>
          <w:rFonts w:hint="eastAsia"/>
          <w:bCs/>
          <w:sz w:val="24"/>
        </w:rPr>
        <w:t>基金的投资组合比例为：债券的投资比例不低于基金资产的80%，但应开放期流动性需要，为保护基金份额持有人利益，在每次开放期前一个月、开放期及开放期结束后一个月的期间内，基金投资不受上述比例限制；开放期内，本基金每个交易日日终在扣除国债期货合约需缴纳的交易保证金后，持有现金或者到期日在一年以内的政府债券投资比例不低于基金资产净值的5%，其中现金不包括结算备付金、存出保证金、应收申购款等</w:t>
      </w:r>
      <w:r>
        <w:rPr>
          <w:bCs/>
          <w:sz w:val="24"/>
        </w:rPr>
        <w:t>，</w:t>
      </w:r>
      <w:r>
        <w:rPr>
          <w:rFonts w:hint="eastAsia"/>
          <w:bCs/>
          <w:sz w:val="24"/>
        </w:rPr>
        <w:t>在封闭期内，本基金不受上述5%的限制。</w:t>
      </w:r>
    </w:p>
    <w:bookmarkEnd w:id="292"/>
    <w:bookmarkEnd w:id="293"/>
    <w:p>
      <w:pPr>
        <w:spacing w:line="360" w:lineRule="auto"/>
        <w:ind w:firstLine="480"/>
        <w:rPr>
          <w:bCs/>
          <w:sz w:val="24"/>
        </w:rPr>
      </w:pPr>
      <w:r>
        <w:rPr>
          <w:rFonts w:hint="eastAsia"/>
          <w:bCs/>
          <w:sz w:val="24"/>
        </w:rPr>
        <w:t>三</w:t>
      </w:r>
      <w:r>
        <w:rPr>
          <w:bCs/>
          <w:sz w:val="24"/>
        </w:rPr>
        <w:t>、投资策略</w:t>
      </w:r>
    </w:p>
    <w:p>
      <w:pPr>
        <w:spacing w:line="360" w:lineRule="auto"/>
        <w:ind w:firstLine="480"/>
        <w:rPr>
          <w:bCs/>
          <w:sz w:val="24"/>
        </w:rPr>
      </w:pPr>
      <w:r>
        <w:rPr>
          <w:rFonts w:hint="eastAsia"/>
          <w:bCs/>
          <w:sz w:val="24"/>
        </w:rPr>
        <w:t>本基金在分析和判断国内外宏观经济形势的基础上，通过“自上而下”的定性分析和定量分析相结合，形成对大类资产的预测和判断，在基金合同约定的范围内确定债券类资产、权益类资产、现金类资产的配置比例，并随着各类证券风险收益特征的相对变化，动态调整大类资产的投资比例，以规避市场风险，提高基金收益率。</w:t>
      </w:r>
    </w:p>
    <w:p>
      <w:pPr>
        <w:spacing w:line="360" w:lineRule="auto"/>
        <w:ind w:firstLine="480"/>
        <w:rPr>
          <w:bCs/>
          <w:sz w:val="24"/>
        </w:rPr>
      </w:pPr>
      <w:r>
        <w:rPr>
          <w:rFonts w:hint="eastAsia"/>
          <w:bCs/>
          <w:sz w:val="24"/>
        </w:rPr>
        <w:t>（一）封闭期投资策略</w:t>
      </w:r>
    </w:p>
    <w:p>
      <w:pPr>
        <w:spacing w:line="360" w:lineRule="auto"/>
        <w:ind w:firstLine="480"/>
        <w:rPr>
          <w:bCs/>
          <w:sz w:val="24"/>
        </w:rPr>
      </w:pPr>
      <w:r>
        <w:rPr>
          <w:bCs/>
          <w:sz w:val="24"/>
        </w:rPr>
        <w:t xml:space="preserve">本基金在债券投资中将根据对经济周期和市场环境的把握，基于对财政政策、货币政策的深入分析以及对宏观经济的持续跟踪，灵活运用久期策略、收益率曲线策略、类属配置策略、利率品种策略、信用债策略、资产支持证券投资策略等多种投资策略，构建债券资产组合，并根据对债券收益率曲线形态、息差变化的预测，动态的对债券投资组合进行调整。 </w:t>
      </w:r>
    </w:p>
    <w:p>
      <w:pPr>
        <w:spacing w:line="360" w:lineRule="auto"/>
        <w:ind w:firstLine="480"/>
        <w:rPr>
          <w:bCs/>
          <w:sz w:val="24"/>
        </w:rPr>
      </w:pPr>
      <w:r>
        <w:rPr>
          <w:rFonts w:hint="eastAsia"/>
          <w:bCs/>
          <w:sz w:val="24"/>
        </w:rPr>
        <w:t>1、</w:t>
      </w:r>
      <w:r>
        <w:rPr>
          <w:bCs/>
          <w:sz w:val="24"/>
        </w:rPr>
        <w:t>久期策略</w:t>
      </w:r>
    </w:p>
    <w:p>
      <w:pPr>
        <w:spacing w:line="360" w:lineRule="auto"/>
        <w:ind w:firstLine="480"/>
        <w:rPr>
          <w:bCs/>
          <w:sz w:val="24"/>
        </w:rPr>
      </w:pPr>
      <w:r>
        <w:rPr>
          <w:bCs/>
          <w:sz w:val="24"/>
        </w:rPr>
        <w:t>本基金将基于对宏观经济政策的分析，积极的预测未来利率变化趋势，并根据预测确定相应的久期目标，调整债券组合的久期配置，以达到提高债券组合收益、降低债券组合利率风险的目的。当预期市场利率水平将上升时，本基金将适当降低组合久期；而预期市场利率将下降时，则适当提高组合久期。在确定债券组合久期的过程中，本基金将在判断市场利率波动趋势的基础上，根据债券市场收益率曲线的当前形态，通过合理假设下的情景分析和压力测试，最后确定最优的债券组合久期。</w:t>
      </w:r>
    </w:p>
    <w:p>
      <w:pPr>
        <w:spacing w:line="360" w:lineRule="auto"/>
        <w:ind w:firstLine="480"/>
        <w:rPr>
          <w:bCs/>
          <w:sz w:val="24"/>
        </w:rPr>
      </w:pPr>
      <w:r>
        <w:rPr>
          <w:bCs/>
          <w:sz w:val="24"/>
        </w:rPr>
        <w:t>2、收益率曲线策略在组合的久期配置确定以后，本基金将通过对收益率曲线的研究，分析和预测收益率曲线可能发生的形状变化，采用子弹型策略、哑铃型策略或梯形策略，在长期、中期和短期债券间进行配置，以从长、中、短期债券的相对价格变化中获利。</w:t>
      </w:r>
    </w:p>
    <w:p>
      <w:pPr>
        <w:spacing w:line="360" w:lineRule="auto"/>
        <w:ind w:firstLine="480"/>
        <w:rPr>
          <w:bCs/>
          <w:sz w:val="24"/>
        </w:rPr>
      </w:pPr>
      <w:r>
        <w:rPr>
          <w:bCs/>
          <w:sz w:val="24"/>
        </w:rPr>
        <w:t xml:space="preserve">3、类属配置策略本基金对不同类型债券的信用风险、税赋水平、市场流动性、市场风险等因素进行分析，研究同期限的国债、金融债、企业债、交易所和银行间市场投资品种的利差和变化趋势，制定债券类属配置策略，以获取不同债券类属之间利差变化所带来的投资收益。 </w:t>
      </w:r>
    </w:p>
    <w:p>
      <w:pPr>
        <w:spacing w:line="360" w:lineRule="auto"/>
        <w:ind w:firstLine="480"/>
        <w:rPr>
          <w:bCs/>
          <w:sz w:val="24"/>
        </w:rPr>
      </w:pPr>
      <w:r>
        <w:rPr>
          <w:bCs/>
          <w:sz w:val="24"/>
        </w:rPr>
        <w:t xml:space="preserve">4、利率品种策略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的配置策略，在合理控制风险的前提下，综合考虑组合的流动性，决定投资品种。 </w:t>
      </w:r>
    </w:p>
    <w:p>
      <w:pPr>
        <w:spacing w:line="360" w:lineRule="auto"/>
        <w:ind w:firstLine="480"/>
        <w:rPr>
          <w:bCs/>
          <w:sz w:val="24"/>
        </w:rPr>
      </w:pPr>
      <w:r>
        <w:rPr>
          <w:bCs/>
          <w:sz w:val="24"/>
        </w:rPr>
        <w:t>5、信用债策略</w:t>
      </w:r>
      <w:r>
        <w:rPr>
          <w:rFonts w:hint="eastAsia"/>
          <w:bCs/>
          <w:sz w:val="24"/>
        </w:rPr>
        <w:t>：</w:t>
      </w:r>
    </w:p>
    <w:p>
      <w:pPr>
        <w:spacing w:line="360" w:lineRule="auto"/>
        <w:ind w:firstLine="480"/>
        <w:rPr>
          <w:bCs/>
          <w:sz w:val="24"/>
        </w:rPr>
      </w:pPr>
      <w:r>
        <w:rPr>
          <w:rFonts w:hint="eastAsia"/>
          <w:bCs/>
          <w:sz w:val="24"/>
        </w:rPr>
        <w:t>本基金所指信用债包括：金融债（不含政策性金融债）、地方政府债、企业债、公司债、短期融资券、超短期融资券、资产支持证券、次级债和中期票据等除国债、央行票据和政策性金融债之外的、非国家信用担保的固定收益类金融工具。</w:t>
      </w:r>
    </w:p>
    <w:p>
      <w:pPr>
        <w:spacing w:line="360" w:lineRule="auto"/>
        <w:ind w:firstLine="480"/>
        <w:rPr>
          <w:bCs/>
          <w:sz w:val="24"/>
        </w:rPr>
      </w:pPr>
      <w:r>
        <w:rPr>
          <w:rFonts w:hint="eastAsia"/>
          <w:bCs/>
          <w:sz w:val="24"/>
        </w:rPr>
        <w:t>本基金投资于同业存单的比例不得超过基金资产的20%，并且不得投资于信用评级低于AA+的信用债，其中投资于AA+评级信用债的比例不超过信用债资产总值的50%，投资于AAA评级信用债的比例占信用债资产总值的50%-100%。</w:t>
      </w:r>
    </w:p>
    <w:p>
      <w:pPr>
        <w:spacing w:line="360" w:lineRule="auto"/>
        <w:ind w:firstLine="480"/>
        <w:rPr>
          <w:bCs/>
          <w:sz w:val="24"/>
        </w:rPr>
      </w:pPr>
      <w:r>
        <w:rPr>
          <w:rFonts w:hint="eastAsia"/>
          <w:bCs/>
          <w:sz w:val="24"/>
        </w:rPr>
        <w:t>金融债（不含政策性金融债）、地方政府债、企业债、公司债、资产支持证券、次级债和中期票据等信用债的信用评级依照基金管理人选定的评级机构出具的债券信用评级；短期融资券和超短期融资券等信用债的信用评级依照基金管理人选定评级机构出具的主体信用评级。</w:t>
      </w:r>
    </w:p>
    <w:p>
      <w:pPr>
        <w:spacing w:line="360" w:lineRule="auto"/>
        <w:ind w:firstLine="480"/>
        <w:rPr>
          <w:bCs/>
          <w:sz w:val="24"/>
        </w:rPr>
      </w:pPr>
      <w:r>
        <w:rPr>
          <w:bCs/>
          <w:sz w:val="24"/>
        </w:rPr>
        <w:t>本基金将通过分析宏观经济周期、市场资金结构和流向、信用利差的历史水平等因素，判断当前信用债市场信用利差的合理性、相对投资价值和风险以及信用利差曲线的未来走势，确定信用债券的配置。</w:t>
      </w:r>
    </w:p>
    <w:p>
      <w:pPr>
        <w:spacing w:line="360" w:lineRule="auto"/>
        <w:ind w:firstLine="480"/>
        <w:rPr>
          <w:bCs/>
          <w:sz w:val="24"/>
        </w:rPr>
      </w:pPr>
      <w:r>
        <w:rPr>
          <w:rFonts w:hint="eastAsia"/>
          <w:bCs/>
          <w:sz w:val="24"/>
        </w:rPr>
        <w:t>6、资产支持证券投资策略</w:t>
      </w:r>
    </w:p>
    <w:p>
      <w:pPr>
        <w:spacing w:line="360" w:lineRule="auto"/>
        <w:ind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pPr>
        <w:spacing w:line="360" w:lineRule="auto"/>
        <w:ind w:firstLine="480"/>
        <w:rPr>
          <w:bCs/>
          <w:sz w:val="24"/>
        </w:rPr>
      </w:pPr>
      <w:r>
        <w:rPr>
          <w:rFonts w:hint="eastAsia"/>
          <w:bCs/>
          <w:sz w:val="24"/>
        </w:rPr>
        <w:t>7、</w:t>
      </w:r>
      <w:r>
        <w:rPr>
          <w:bCs/>
          <w:sz w:val="24"/>
        </w:rPr>
        <w:t>国债期货投资策略</w:t>
      </w:r>
    </w:p>
    <w:p>
      <w:pPr>
        <w:spacing w:line="360" w:lineRule="auto"/>
        <w:ind w:firstLine="480"/>
        <w:rPr>
          <w:bCs/>
          <w:sz w:val="24"/>
        </w:rPr>
      </w:pPr>
      <w:r>
        <w:rPr>
          <w:bCs/>
          <w:sz w:val="24"/>
        </w:rPr>
        <w:t xml:space="preserve">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谨慎进行对国债期货的投资。 </w:t>
      </w:r>
    </w:p>
    <w:p>
      <w:pPr>
        <w:spacing w:line="360" w:lineRule="auto"/>
        <w:ind w:firstLine="480"/>
        <w:rPr>
          <w:bCs/>
          <w:sz w:val="24"/>
        </w:rPr>
      </w:pPr>
      <w:r>
        <w:rPr>
          <w:rFonts w:hint="eastAsia"/>
          <w:bCs/>
          <w:sz w:val="24"/>
        </w:rPr>
        <w:t>8、杠杆投资策略</w:t>
      </w:r>
    </w:p>
    <w:p>
      <w:pPr>
        <w:spacing w:line="360" w:lineRule="auto"/>
        <w:ind w:firstLine="480"/>
        <w:rPr>
          <w:bCs/>
          <w:sz w:val="24"/>
        </w:rPr>
      </w:pPr>
      <w:r>
        <w:rPr>
          <w:rFonts w:hint="eastAsia"/>
          <w:bCs/>
          <w:sz w:val="24"/>
        </w:rPr>
        <w:t>本基金可在封闭期内进行杠杆投资，所获得资金仍主要投资于剩余期限（或回售期限）不超过基金剩余封闭期的固定收益品种，并采取买入并持有到期的策略。本基金采用滚动回购的方式维持杠杆，因此负债的资金成本存在一定的波动性。</w:t>
      </w:r>
    </w:p>
    <w:p>
      <w:pPr>
        <w:spacing w:line="360" w:lineRule="auto"/>
        <w:ind w:firstLine="480" w:firstLineChars="200"/>
        <w:rPr>
          <w:bCs/>
          <w:sz w:val="24"/>
        </w:rPr>
      </w:pPr>
      <w:r>
        <w:rPr>
          <w:rFonts w:hint="eastAsia"/>
          <w:bCs/>
          <w:sz w:val="24"/>
        </w:rPr>
        <w:t>9、可转换债券投资策略</w:t>
      </w:r>
    </w:p>
    <w:p>
      <w:pPr>
        <w:spacing w:line="360" w:lineRule="auto"/>
        <w:ind w:firstLine="480" w:firstLineChars="200"/>
        <w:rPr>
          <w:bCs/>
          <w:sz w:val="24"/>
        </w:rPr>
      </w:pPr>
      <w:r>
        <w:rPr>
          <w:rFonts w:hint="eastAsia"/>
          <w:bCs/>
          <w:sz w:val="24"/>
        </w:rPr>
        <w:t>着重对可转换债券对应的基础股票的分析与研究，同时兼顾其债券价值和转换期权价值，对那些有着较强的盈利能力或成长潜力的上市公司的可转换债券进行重点投资。本基金管理人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pPr>
        <w:spacing w:line="360" w:lineRule="auto"/>
        <w:ind w:firstLine="480" w:firstLineChars="200"/>
        <w:rPr>
          <w:bCs/>
          <w:sz w:val="24"/>
        </w:rPr>
      </w:pPr>
      <w:r>
        <w:rPr>
          <w:rFonts w:hint="eastAsia"/>
          <w:bCs/>
          <w:sz w:val="24"/>
        </w:rPr>
        <w:t>10、股票投资策略</w:t>
      </w:r>
    </w:p>
    <w:p>
      <w:pPr>
        <w:spacing w:line="360" w:lineRule="auto"/>
        <w:ind w:firstLine="480" w:firstLineChars="200"/>
        <w:rPr>
          <w:bCs/>
          <w:sz w:val="24"/>
        </w:rPr>
      </w:pPr>
      <w:r>
        <w:rPr>
          <w:rFonts w:hint="eastAsia"/>
          <w:bCs/>
          <w:sz w:val="24"/>
        </w:rPr>
        <w:t>本基金的股票投资策略以精选个股为主，发挥基金管理人专业研究团队的研究能力，从定量和定性两个方面考察上市公司的增值潜力。定量方面综合考虑盈利能力、成长性、估值水平等多种因素，包括净资产与市值比率（B/P）、每股盈利/每股市价（E/P）、年现金流/市值（cashflow-to-price）和销售收入/市值（S/P）等价值指标以及净资产收益率（ROE）、每股收益增长率和主营业务收入增长率等成长指标。定性方面考察上市公司所属行业发展前景、行业地位、竞争优势等多种因素，精选流动性好、成长性高、估值水平低的股票进行投资。</w:t>
      </w:r>
    </w:p>
    <w:p>
      <w:pPr>
        <w:spacing w:line="360" w:lineRule="auto"/>
        <w:ind w:firstLine="480"/>
        <w:rPr>
          <w:bCs/>
          <w:sz w:val="24"/>
        </w:rPr>
      </w:pPr>
      <w:r>
        <w:rPr>
          <w:rFonts w:hint="eastAsia"/>
          <w:bCs/>
          <w:sz w:val="24"/>
        </w:rPr>
        <w:t>（二）开放期投资策略</w:t>
      </w:r>
    </w:p>
    <w:p>
      <w:pPr>
        <w:spacing w:line="360" w:lineRule="auto"/>
        <w:ind w:firstLine="480" w:firstLineChars="200"/>
        <w:rPr>
          <w:bCs/>
          <w:sz w:val="24"/>
        </w:rPr>
      </w:pPr>
      <w:r>
        <w:rPr>
          <w:rFonts w:hint="eastAsia"/>
          <w:bCs/>
          <w:sz w:val="24"/>
        </w:rPr>
        <w:t>在开放期，基金规模将随着投资人对本基金份额的申购与赎回而不断变化，基金管理人将采取各种有效管理措施，保障基金运作安排，防范流动性风险，满足开放期流动性的需求。</w:t>
      </w:r>
    </w:p>
    <w:p>
      <w:pPr>
        <w:spacing w:line="360" w:lineRule="auto"/>
        <w:ind w:firstLine="480" w:firstLineChars="200"/>
        <w:rPr>
          <w:bCs/>
          <w:sz w:val="24"/>
        </w:rPr>
      </w:pPr>
      <w:r>
        <w:rPr>
          <w:rFonts w:hint="eastAsia"/>
          <w:bCs/>
          <w:sz w:val="24"/>
        </w:rPr>
        <w:t>四</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（1）本基金对债券的投资比例不低于基金资产的80%，但应开放期流动性需要，为保护基金份额持有人利益，在每次开放期前一个月、开放期及开放期结束后一个月的期间内，基金投资不受上述比例限制；</w:t>
      </w:r>
    </w:p>
    <w:p>
      <w:pPr>
        <w:spacing w:line="360" w:lineRule="auto"/>
        <w:ind w:firstLine="480" w:firstLineChars="200"/>
        <w:rPr>
          <w:bCs/>
          <w:sz w:val="24"/>
        </w:rPr>
      </w:pPr>
      <w:r>
        <w:rPr>
          <w:rFonts w:hint="eastAsia"/>
          <w:bCs/>
          <w:sz w:val="24"/>
        </w:rPr>
        <w:t>（2）开放期内，本基金每个交易日日终在扣除国债期货合约需缴纳的交易保证金后，现金或到期日在一年以内的政府债券的投资比例不低于基金资产净值的5%，其中现金不包括结算备付金、存出保证金、应收申购款等</w:t>
      </w:r>
      <w:r>
        <w:rPr>
          <w:bCs/>
          <w:sz w:val="24"/>
        </w:rPr>
        <w:t>，</w:t>
      </w:r>
      <w:r>
        <w:rPr>
          <w:rFonts w:hint="eastAsia"/>
          <w:bCs/>
          <w:sz w:val="24"/>
        </w:rPr>
        <w:t>在封闭期内，本基金不受上述5%的限制；</w:t>
      </w:r>
    </w:p>
    <w:p>
      <w:pPr>
        <w:spacing w:line="360" w:lineRule="auto"/>
        <w:ind w:firstLine="480" w:firstLineChars="200"/>
        <w:rPr>
          <w:bCs/>
          <w:sz w:val="24"/>
        </w:rPr>
      </w:pPr>
      <w:r>
        <w:rPr>
          <w:rFonts w:hint="eastAsia"/>
          <w:bCs/>
          <w:sz w:val="24"/>
        </w:rPr>
        <w:t>（3）本基金持有一家公司发行的证券，其市值不超过基金资产净值的10%；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（4）本基金管理人管理的全部基金持有一家公司发行的证券，不超过该证券的10%；</w:t>
      </w:r>
    </w:p>
    <w:p>
      <w:pPr>
        <w:spacing w:line="360" w:lineRule="auto"/>
        <w:ind w:firstLine="480" w:firstLineChars="200"/>
        <w:rPr>
          <w:bCs/>
          <w:sz w:val="24"/>
        </w:rPr>
      </w:pPr>
      <w:r>
        <w:rPr>
          <w:rFonts w:hint="eastAsia"/>
          <w:bCs/>
          <w:sz w:val="24"/>
        </w:rPr>
        <w:t>（</w:t>
      </w:r>
      <w:r>
        <w:rPr>
          <w:bCs/>
          <w:sz w:val="24"/>
        </w:rPr>
        <w:t>5</w:t>
      </w:r>
      <w:r>
        <w:rPr>
          <w:rFonts w:hint="eastAsia"/>
          <w:bCs/>
          <w:sz w:val="24"/>
        </w:rPr>
        <w:t>）本基金进入全国银行间同业市场进行债券回购的资金余额不得超过基金资产净值的40%，在全国银行间同业市场中的债券回购最长期限为1年，债券回购到期后不展期；</w:t>
      </w:r>
    </w:p>
    <w:p>
      <w:pPr>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）本基金持有的全部资产支持证券，其市值不得超过基金资产净值的20%；</w:t>
      </w:r>
    </w:p>
    <w:p>
      <w:pPr>
        <w:spacing w:line="360" w:lineRule="auto"/>
        <w:ind w:firstLine="480" w:firstLineChars="200"/>
        <w:rPr>
          <w:bCs/>
          <w:sz w:val="24"/>
        </w:rPr>
      </w:pPr>
      <w:r>
        <w:rPr>
          <w:rFonts w:hint="eastAsia"/>
          <w:bCs/>
          <w:sz w:val="24"/>
        </w:rPr>
        <w:t>（</w:t>
      </w:r>
      <w:r>
        <w:rPr>
          <w:bCs/>
          <w:sz w:val="24"/>
        </w:rPr>
        <w:t>8</w:t>
      </w:r>
      <w:r>
        <w:rPr>
          <w:rFonts w:hint="eastAsia"/>
          <w:bCs/>
          <w:sz w:val="24"/>
        </w:rPr>
        <w:t>）本基金持有的同一(指同一信用级别)资产支持证券的比例，不得超过该资产支持证券规模的10%；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10</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w:t>
      </w:r>
      <w:r>
        <w:rPr>
          <w:bCs/>
          <w:sz w:val="24"/>
        </w:rPr>
        <w:t>11</w:t>
      </w:r>
      <w:r>
        <w:rPr>
          <w:rFonts w:hint="eastAsia"/>
          <w:bCs/>
          <w:sz w:val="24"/>
        </w:rPr>
        <w:t>）封闭期内，本基金资产总值不得超过基金资产净值的200%；开放期内，基金资产总值不得超过基金资产净值的140%；</w:t>
      </w:r>
    </w:p>
    <w:p>
      <w:pPr>
        <w:spacing w:line="360" w:lineRule="auto"/>
        <w:ind w:firstLine="480" w:firstLineChars="200"/>
        <w:rPr>
          <w:bCs/>
          <w:sz w:val="24"/>
        </w:rPr>
      </w:pPr>
      <w:r>
        <w:rPr>
          <w:rFonts w:hint="eastAsia"/>
          <w:bCs/>
          <w:sz w:val="24"/>
        </w:rPr>
        <w:t>（</w:t>
      </w:r>
      <w:r>
        <w:rPr>
          <w:bCs/>
          <w:sz w:val="24"/>
        </w:rPr>
        <w:t>12</w:t>
      </w:r>
      <w:r>
        <w:rPr>
          <w:rFonts w:hint="eastAsia"/>
          <w:bCs/>
          <w:sz w:val="24"/>
        </w:rPr>
        <w:t>）本基金参与国债期货交易，需遵守下列投资比例限制：</w:t>
      </w:r>
    </w:p>
    <w:p>
      <w:pPr>
        <w:spacing w:line="360" w:lineRule="auto"/>
        <w:ind w:firstLine="480" w:firstLineChars="200"/>
        <w:rPr>
          <w:bCs/>
          <w:sz w:val="24"/>
        </w:rPr>
      </w:pPr>
      <w:r>
        <w:rPr>
          <w:rFonts w:hint="eastAsia"/>
          <w:bCs/>
          <w:sz w:val="24"/>
        </w:rPr>
        <w:t>1）基金在任何交易日日终，持有的买入国债期货合约价值，不得超过基金资产净值的15%；</w:t>
      </w:r>
    </w:p>
    <w:p>
      <w:pPr>
        <w:spacing w:line="360" w:lineRule="auto"/>
        <w:ind w:firstLine="480" w:firstLineChars="200"/>
        <w:rPr>
          <w:bCs/>
          <w:sz w:val="24"/>
        </w:rPr>
      </w:pPr>
      <w:r>
        <w:rPr>
          <w:rFonts w:hint="eastAsia"/>
          <w:bCs/>
          <w:sz w:val="24"/>
        </w:rPr>
        <w:t>2）基金在任何交易日日终，持有的卖出国债期货合约价值不得超过基金持有的债券总市值的30%；</w:t>
      </w:r>
    </w:p>
    <w:p>
      <w:pPr>
        <w:spacing w:line="360" w:lineRule="auto"/>
        <w:ind w:firstLine="480" w:firstLineChars="200"/>
        <w:rPr>
          <w:bCs/>
          <w:sz w:val="24"/>
        </w:rPr>
      </w:pPr>
      <w:r>
        <w:rPr>
          <w:rFonts w:hint="eastAsia"/>
          <w:bCs/>
          <w:sz w:val="24"/>
        </w:rPr>
        <w:t>3）基金在任何交易日内交易（不包括平仓）的国债期货合约的成交金额不得超过上一交易日基金资产净值的30%；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4）基金所持有的债券（不含到期日在一年以内的政府债券）市值和买入、卖出国债期货合约价值，合计（轧差计算）应当符合基金合同关于债券投资比例的有关约定。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sz w:val="24"/>
        </w:rPr>
      </w:pPr>
      <w:r>
        <w:rPr>
          <w:rFonts w:hint="eastAsia"/>
          <w:bCs/>
          <w:sz w:val="24"/>
        </w:rPr>
        <w:t>（</w:t>
      </w:r>
      <w:r>
        <w:rPr>
          <w:bCs/>
          <w:sz w:val="24"/>
        </w:rPr>
        <w:t>13</w:t>
      </w:r>
      <w:r>
        <w:rPr>
          <w:rFonts w:hint="eastAsia"/>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w:t>
      </w:r>
      <w:r>
        <w:rPr>
          <w:bCs/>
          <w:sz w:val="24"/>
        </w:rPr>
        <w:t>14</w:t>
      </w:r>
      <w:r>
        <w:rPr>
          <w:rFonts w:hint="eastAsia"/>
          <w:bCs/>
          <w:sz w:val="24"/>
        </w:rPr>
        <w:t>）开放期内，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spacing w:line="360" w:lineRule="auto"/>
        <w:ind w:firstLine="480" w:firstLineChars="200"/>
        <w:rPr>
          <w:bCs/>
          <w:sz w:val="24"/>
        </w:rPr>
      </w:pPr>
      <w:r>
        <w:rPr>
          <w:rFonts w:hint="eastAsia"/>
          <w:bCs/>
          <w:sz w:val="24"/>
        </w:rPr>
        <w:t>（</w:t>
      </w:r>
      <w:r>
        <w:rPr>
          <w:bCs/>
          <w:sz w:val="24"/>
        </w:rPr>
        <w:t>15</w:t>
      </w:r>
      <w:r>
        <w:rPr>
          <w:rFonts w:hint="eastAsia"/>
          <w:bCs/>
          <w:sz w:val="24"/>
        </w:rPr>
        <w:t>）开放期内，本基金主动投资于流动性受限资产的市值合计不得超过该基金资产净值的15%；</w:t>
      </w:r>
      <w:r>
        <w:rPr>
          <w:rFonts w:hint="eastAsia" w:ascii="宋体" w:hAnsi="宋体"/>
          <w:kern w:val="0"/>
          <w:sz w:val="24"/>
        </w:rPr>
        <w:t>封闭期内不受此限</w:t>
      </w:r>
      <w:r>
        <w:rPr>
          <w:rFonts w:ascii="宋体" w:hAnsi="宋体"/>
          <w:kern w:val="0"/>
          <w:sz w:val="24"/>
        </w:rPr>
        <w:t>。</w:t>
      </w:r>
    </w:p>
    <w:p>
      <w:pPr>
        <w:spacing w:line="360" w:lineRule="auto"/>
        <w:ind w:firstLine="480" w:firstLineChars="200"/>
        <w:rPr>
          <w:bCs/>
          <w:sz w:val="24"/>
        </w:rPr>
      </w:pPr>
      <w:r>
        <w:rPr>
          <w:rFonts w:hint="eastAsia"/>
          <w:bCs/>
          <w:sz w:val="24"/>
        </w:rPr>
        <w:t>因证券</w:t>
      </w:r>
      <w:r>
        <w:rPr>
          <w:bCs/>
          <w:sz w:val="24"/>
        </w:rPr>
        <w:t>／</w:t>
      </w:r>
      <w:r>
        <w:rPr>
          <w:rFonts w:hint="eastAsia"/>
          <w:bCs/>
          <w:sz w:val="24"/>
        </w:rPr>
        <w:t>期货市场波动、上市公司股票停牌、基金规模变动等基金管理人之外的因素致使基金不符合前款所规定比例限制的，基金管理人不得主动新增流动性受限资产的投资；</w:t>
      </w:r>
    </w:p>
    <w:p>
      <w:pPr>
        <w:spacing w:line="360" w:lineRule="auto"/>
        <w:ind w:firstLine="480" w:firstLineChars="200"/>
        <w:rPr>
          <w:bCs/>
          <w:sz w:val="24"/>
        </w:rPr>
      </w:pPr>
      <w:r>
        <w:rPr>
          <w:rFonts w:hint="eastAsia"/>
          <w:bCs/>
          <w:sz w:val="24"/>
        </w:rPr>
        <w:t>（</w:t>
      </w:r>
      <w:r>
        <w:rPr>
          <w:bCs/>
          <w:sz w:val="24"/>
        </w:rPr>
        <w:t>16</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17</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除上述第（2）、（1</w:t>
      </w:r>
      <w:r>
        <w:rPr>
          <w:bCs/>
          <w:sz w:val="24"/>
        </w:rPr>
        <w:t>0</w:t>
      </w:r>
      <w:r>
        <w:rPr>
          <w:rFonts w:hint="eastAsia"/>
          <w:bCs/>
          <w:sz w:val="24"/>
        </w:rPr>
        <w:t>）、（1</w:t>
      </w:r>
      <w:r>
        <w:rPr>
          <w:bCs/>
          <w:sz w:val="24"/>
        </w:rPr>
        <w:t>5</w:t>
      </w:r>
      <w:r>
        <w:rPr>
          <w:rFonts w:hint="eastAsia"/>
          <w:bCs/>
          <w:sz w:val="24"/>
        </w:rPr>
        <w:t>）、（1</w:t>
      </w:r>
      <w:r>
        <w:rPr>
          <w:bCs/>
          <w:sz w:val="24"/>
        </w:rPr>
        <w:t>6</w:t>
      </w:r>
      <w:r>
        <w:rPr>
          <w:rFonts w:hint="eastAsia"/>
          <w:bCs/>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w:t>
      </w:r>
      <w:r>
        <w:rPr>
          <w:bCs/>
          <w:sz w:val="24"/>
        </w:rPr>
        <w:t>证监会另有规定的除外；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3、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pPr>
        <w:spacing w:line="360" w:lineRule="auto"/>
        <w:ind w:firstLine="480" w:firstLineChars="200"/>
        <w:rPr>
          <w:bCs/>
          <w:sz w:val="24"/>
        </w:rPr>
      </w:pPr>
      <w:r>
        <w:rPr>
          <w:rFonts w:hint="eastAsia"/>
          <w:bCs/>
          <w:sz w:val="24"/>
        </w:rPr>
        <w:t>五</w:t>
      </w:r>
      <w:r>
        <w:rPr>
          <w:bCs/>
          <w:sz w:val="24"/>
        </w:rPr>
        <w:t>、业绩比较基准</w:t>
      </w:r>
    </w:p>
    <w:p>
      <w:pPr>
        <w:spacing w:line="360" w:lineRule="auto"/>
        <w:ind w:firstLine="480" w:firstLineChars="200"/>
        <w:rPr>
          <w:bCs/>
          <w:sz w:val="24"/>
        </w:rPr>
      </w:pPr>
      <w:r>
        <w:rPr>
          <w:rFonts w:hint="eastAsia"/>
          <w:bCs/>
          <w:sz w:val="24"/>
        </w:rPr>
        <w:t>中债综合指数收益率×90%+沪深300指数收益率×10%</w:t>
      </w:r>
    </w:p>
    <w:p>
      <w:pPr>
        <w:spacing w:line="360" w:lineRule="auto"/>
        <w:ind w:firstLine="480" w:firstLineChars="200"/>
        <w:rPr>
          <w:bCs/>
          <w:sz w:val="24"/>
        </w:rPr>
      </w:pPr>
      <w:r>
        <w:rPr>
          <w:bCs/>
          <w:sz w:val="24"/>
        </w:rPr>
        <w:t>中证综合债指数是综合反映银行间和交易所市场国债、金融债、企业债、央票及短期融资券整体走势的跨市场债券指数。该指数编制合理、透明、运用广泛，具有较强的代表性和权威性，能够更全面地反映我国债券市场的整体价格变动趋势。</w:t>
      </w:r>
    </w:p>
    <w:p>
      <w:pPr>
        <w:spacing w:line="360" w:lineRule="auto"/>
        <w:ind w:firstLine="480" w:firstLineChars="200"/>
        <w:rPr>
          <w:bCs/>
          <w:sz w:val="24"/>
        </w:rPr>
      </w:pPr>
      <w:r>
        <w:rPr>
          <w:rFonts w:hint="eastAsia"/>
          <w:bCs/>
          <w:sz w:val="24"/>
        </w:rPr>
        <w:t>沪深300指数是由中证指数公司编制发布、表征A股市场走势的权威指数。该指数是由上海和深圳证券市场中选取300只A股作为样本编制而成的成份股指数。其样本覆盖了沪深市场六成左右的市值，具有良好的市场代表性。本基金选择该指数来衡量A股投资部分的绩效。</w:t>
      </w:r>
    </w:p>
    <w:p>
      <w:pPr>
        <w:spacing w:line="360" w:lineRule="auto"/>
        <w:ind w:firstLine="480" w:firstLineChars="200"/>
        <w:rPr>
          <w:bCs/>
          <w:sz w:val="24"/>
        </w:rPr>
      </w:pPr>
      <w:r>
        <w:rPr>
          <w:bCs/>
          <w:sz w:val="24"/>
        </w:rPr>
        <w:t>选用上述业绩比较基准能够真实、客观地反映本基金的风险收益特征。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基金管理人应在调整前2日在规定媒介上予以公告，无需召开基金份额持有人大会审议。</w:t>
      </w:r>
    </w:p>
    <w:p>
      <w:pPr>
        <w:spacing w:line="360" w:lineRule="auto"/>
        <w:ind w:firstLine="480" w:firstLineChars="200"/>
        <w:rPr>
          <w:bCs/>
          <w:sz w:val="24"/>
        </w:rPr>
      </w:pPr>
      <w:r>
        <w:rPr>
          <w:rFonts w:hint="eastAsia"/>
          <w:bCs/>
          <w:sz w:val="24"/>
        </w:rPr>
        <w:t>六</w:t>
      </w:r>
      <w:r>
        <w:rPr>
          <w:bCs/>
          <w:sz w:val="24"/>
        </w:rPr>
        <w:t>、风险收益特征</w:t>
      </w:r>
    </w:p>
    <w:p>
      <w:pPr>
        <w:spacing w:line="360" w:lineRule="auto"/>
        <w:ind w:firstLine="480" w:firstLineChars="200"/>
        <w:rPr>
          <w:rFonts w:ascii="宋体" w:hAnsi="宋体"/>
          <w:sz w:val="24"/>
        </w:rPr>
      </w:pPr>
      <w:bookmarkStart w:id="294" w:name="_Toc13819"/>
      <w:r>
        <w:rPr>
          <w:rFonts w:hint="eastAsia" w:ascii="宋体" w:hAnsi="宋体"/>
          <w:sz w:val="24"/>
        </w:rPr>
        <w:t>本基金为债券型基金，其长期平均风险和预期收益率低于股票型基金、混合型基金，高于货币市场基金。</w:t>
      </w:r>
    </w:p>
    <w:p>
      <w:pPr>
        <w:spacing w:line="360" w:lineRule="auto"/>
        <w:ind w:firstLine="480" w:firstLineChars="200"/>
        <w:rPr>
          <w:rFonts w:ascii="宋体" w:hAnsi="宋体"/>
          <w:sz w:val="24"/>
        </w:rPr>
      </w:pPr>
      <w:r>
        <w:rPr>
          <w:rFonts w:hint="eastAsia" w:ascii="宋体" w:hAnsi="宋体"/>
          <w:sz w:val="24"/>
        </w:rPr>
        <w:t>七、基金管理人代表基金行使股东或债权人权利的处理原则及方法</w:t>
      </w:r>
    </w:p>
    <w:p>
      <w:pPr>
        <w:spacing w:line="360" w:lineRule="auto"/>
        <w:ind w:firstLine="480" w:firstLineChars="200"/>
        <w:rPr>
          <w:rFonts w:ascii="宋体" w:hAnsi="宋体"/>
          <w:sz w:val="24"/>
        </w:rPr>
      </w:pPr>
      <w:r>
        <w:rPr>
          <w:rFonts w:hint="eastAsia" w:ascii="宋体" w:hAnsi="宋体"/>
          <w:sz w:val="24"/>
        </w:rPr>
        <w:t xml:space="preserve">1、基金管理人按照国家有关规定代表基金独立行使股东或债权人权利，保护基金份额持有人的利益； </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、不谋求对上市公司的控股；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xml:space="preserve">有利于基金财产的安全与增值； </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、不通过关联交易为自身、雇员、授权代理人或任何存在利害关系的第三人牟取任何不当利益。</w:t>
      </w:r>
    </w:p>
    <w:p>
      <w:pPr>
        <w:spacing w:line="360" w:lineRule="auto"/>
        <w:ind w:firstLine="480" w:firstLineChars="200"/>
        <w:rPr>
          <w:rFonts w:ascii="宋体" w:hAnsi="宋体"/>
          <w:sz w:val="24"/>
        </w:rPr>
      </w:pPr>
      <w:r>
        <w:rPr>
          <w:rFonts w:hint="eastAsia" w:ascii="宋体" w:hAnsi="宋体"/>
          <w:sz w:val="24"/>
        </w:rPr>
        <w:t>八、侧袋机制的实施和投资运作安排</w:t>
      </w:r>
    </w:p>
    <w:p>
      <w:pPr>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侧袋账户的实施条件、实施程序、运作安排、投资安排、特定资产的处置变现和支付等对投资者权益有重大影响的事项详见招募说明书的规定。</w:t>
      </w:r>
    </w:p>
    <w:p>
      <w:pPr>
        <w:spacing w:line="360" w:lineRule="auto"/>
        <w:ind w:firstLine="480" w:firstLineChars="200"/>
        <w:rPr>
          <w:rFonts w:ascii="宋体" w:hAnsi="宋体"/>
          <w:sz w:val="24"/>
        </w:rPr>
      </w:pPr>
    </w:p>
    <w:p>
      <w:pPr>
        <w:pStyle w:val="2"/>
        <w:spacing w:before="0" w:after="0"/>
        <w:jc w:val="center"/>
        <w:rPr>
          <w:rFonts w:ascii="Times New Roman"/>
          <w:b w:val="0"/>
          <w:bCs/>
          <w:color w:val="auto"/>
          <w:kern w:val="44"/>
          <w:sz w:val="21"/>
        </w:rPr>
      </w:pPr>
      <w:r>
        <w:rPr>
          <w:rFonts w:ascii="Times New Roman"/>
          <w:b w:val="0"/>
          <w:bCs/>
          <w:color w:val="auto"/>
          <w:kern w:val="44"/>
          <w:sz w:val="21"/>
        </w:rPr>
        <w:br w:type="page"/>
      </w:r>
      <w:bookmarkStart w:id="295" w:name="_Toc93226145"/>
      <w:bookmarkStart w:id="296" w:name="_Toc92662704"/>
      <w:bookmarkStart w:id="297" w:name="_Toc26114"/>
      <w:bookmarkStart w:id="298" w:name="_Toc18000"/>
      <w:bookmarkStart w:id="299" w:name="_Toc24474"/>
      <w:bookmarkStart w:id="300" w:name="_Toc32030"/>
      <w:bookmarkStart w:id="301" w:name="_Toc20102"/>
      <w:bookmarkStart w:id="302" w:name="_Toc31611"/>
      <w:bookmarkStart w:id="303" w:name="_Toc29561"/>
      <w:bookmarkStart w:id="304" w:name="_Toc21642"/>
      <w:bookmarkStart w:id="305" w:name="_Toc519229409"/>
      <w:bookmarkStart w:id="306" w:name="_Toc141703893"/>
      <w:bookmarkStart w:id="307" w:name="_Toc3054"/>
      <w:bookmarkStart w:id="308" w:name="_Toc128310496"/>
      <w:bookmarkStart w:id="309" w:name="_Toc20782"/>
      <w:bookmarkStart w:id="310" w:name="_Toc139991743"/>
    </w:p>
    <w:p>
      <w:pPr>
        <w:pStyle w:val="2"/>
        <w:spacing w:before="0" w:after="0"/>
        <w:jc w:val="center"/>
        <w:rPr>
          <w:rFonts w:ascii="Times New Roman"/>
          <w:color w:val="auto"/>
          <w:sz w:val="30"/>
        </w:rPr>
      </w:pPr>
      <w:r>
        <w:rPr>
          <w:rFonts w:ascii="Times New Roman"/>
          <w:color w:val="auto"/>
          <w:sz w:val="30"/>
        </w:rPr>
        <w:t>第十</w:t>
      </w:r>
      <w:r>
        <w:rPr>
          <w:rFonts w:hint="eastAsia" w:ascii="Times New Roman"/>
          <w:color w:val="auto"/>
          <w:sz w:val="30"/>
        </w:rPr>
        <w:t>三</w:t>
      </w:r>
      <w:r>
        <w:rPr>
          <w:rFonts w:ascii="Times New Roman"/>
          <w:color w:val="auto"/>
          <w:sz w:val="30"/>
        </w:rPr>
        <w:t>部分  基金</w:t>
      </w:r>
      <w:bookmarkEnd w:id="295"/>
      <w:bookmarkEnd w:id="296"/>
      <w:r>
        <w:rPr>
          <w:rFonts w:ascii="Times New Roman"/>
          <w:color w:val="auto"/>
          <w:sz w:val="30"/>
        </w:rPr>
        <w:t>的财产</w:t>
      </w:r>
      <w:bookmarkEnd w:id="294"/>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基金资产总值是指购买的各类证券及票据价值、银行存款本息和基金应收的申购基金款以及其他投资所形成的价值总和。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pPr>
        <w:spacing w:line="360" w:lineRule="auto"/>
        <w:ind w:firstLine="480" w:firstLineChars="200"/>
        <w:rPr>
          <w:bCs/>
          <w:sz w:val="24"/>
        </w:rPr>
      </w:pPr>
      <w:r>
        <w:rPr>
          <w:bCs/>
          <w:sz w:val="24"/>
        </w:rPr>
        <w:t>四、基金财产的保管和处分</w:t>
      </w:r>
      <w:bookmarkStart w:id="312" w:name="_Hlt88900062"/>
      <w:bookmarkEnd w:id="312"/>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13" w:name="_Toc2623"/>
      <w:bookmarkStart w:id="314" w:name="_Toc19714"/>
      <w:bookmarkStart w:id="315" w:name="_Toc27832"/>
      <w:bookmarkStart w:id="316" w:name="_Toc31917"/>
      <w:bookmarkStart w:id="317" w:name="_Toc519229410"/>
      <w:bookmarkStart w:id="318" w:name="_Toc7802"/>
      <w:bookmarkStart w:id="319" w:name="_Toc871"/>
      <w:bookmarkStart w:id="320" w:name="_Toc17782"/>
      <w:bookmarkStart w:id="321" w:name="_Toc139991744"/>
      <w:bookmarkStart w:id="322" w:name="_Toc141703894"/>
      <w:r>
        <w:rPr>
          <w:rFonts w:ascii="Times New Roman"/>
          <w:color w:val="auto"/>
          <w:sz w:val="30"/>
        </w:rPr>
        <w:t>第十</w:t>
      </w:r>
      <w:r>
        <w:rPr>
          <w:rFonts w:hint="eastAsia" w:ascii="Times New Roman"/>
          <w:color w:val="auto"/>
          <w:sz w:val="30"/>
        </w:rPr>
        <w:t>四</w:t>
      </w:r>
      <w:r>
        <w:rPr>
          <w:rFonts w:ascii="Times New Roman"/>
          <w:color w:val="auto"/>
          <w:sz w:val="30"/>
        </w:rPr>
        <w:t>部分  基金资产估值</w:t>
      </w:r>
      <w:bookmarkEnd w:id="313"/>
      <w:bookmarkEnd w:id="314"/>
      <w:bookmarkEnd w:id="315"/>
      <w:bookmarkEnd w:id="316"/>
      <w:bookmarkEnd w:id="317"/>
      <w:bookmarkEnd w:id="318"/>
      <w:bookmarkEnd w:id="319"/>
      <w:bookmarkEnd w:id="320"/>
    </w:p>
    <w:p>
      <w:pPr>
        <w:spacing w:line="360" w:lineRule="auto"/>
        <w:ind w:firstLine="480" w:firstLineChars="200"/>
        <w:rPr>
          <w:bCs/>
          <w:sz w:val="24"/>
        </w:rPr>
      </w:pPr>
    </w:p>
    <w:bookmarkEnd w:id="321"/>
    <w:bookmarkEnd w:id="322"/>
    <w:p>
      <w:pPr>
        <w:spacing w:line="360" w:lineRule="auto"/>
        <w:ind w:firstLine="480" w:firstLineChars="200"/>
        <w:rPr>
          <w:bCs/>
          <w:sz w:val="24"/>
        </w:rPr>
      </w:pPr>
      <w:bookmarkStart w:id="323" w:name="_Toc32046"/>
      <w:bookmarkStart w:id="324" w:name="_Toc141703895"/>
      <w:bookmarkStart w:id="325" w:name="_Toc139991745"/>
      <w:r>
        <w:rPr>
          <w:bCs/>
          <w:sz w:val="24"/>
        </w:rPr>
        <w:t>一、估值日</w:t>
      </w:r>
    </w:p>
    <w:p>
      <w:pPr>
        <w:spacing w:line="360" w:lineRule="auto"/>
        <w:ind w:firstLine="480" w:firstLineChars="20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w:t>
      </w:r>
      <w:r>
        <w:rPr>
          <w:rFonts w:hint="eastAsia"/>
          <w:bCs/>
          <w:sz w:val="24"/>
        </w:rPr>
        <w:t>股票</w:t>
      </w:r>
      <w:r>
        <w:rPr>
          <w:bCs/>
          <w:sz w:val="24"/>
        </w:rPr>
        <w:t>、</w:t>
      </w:r>
      <w:r>
        <w:rPr>
          <w:rFonts w:hint="eastAsia"/>
          <w:bCs/>
          <w:sz w:val="24"/>
        </w:rPr>
        <w:t>资产</w:t>
      </w:r>
      <w:r>
        <w:rPr>
          <w:bCs/>
          <w:sz w:val="24"/>
        </w:rPr>
        <w:t>支持证券、</w:t>
      </w:r>
      <w:r>
        <w:rPr>
          <w:rFonts w:hint="eastAsia"/>
          <w:bCs/>
          <w:sz w:val="24"/>
        </w:rPr>
        <w:t>国债</w:t>
      </w:r>
      <w:r>
        <w:rPr>
          <w:bCs/>
          <w:sz w:val="24"/>
        </w:rPr>
        <w:t>期货、银行存款本息、应收款项、其他投资等资产及负债。</w:t>
      </w:r>
    </w:p>
    <w:p>
      <w:pPr>
        <w:spacing w:line="360" w:lineRule="auto"/>
        <w:ind w:firstLine="480" w:firstLineChars="200"/>
        <w:rPr>
          <w:bCs/>
          <w:sz w:val="24"/>
        </w:rPr>
      </w:pPr>
      <w:r>
        <w:rPr>
          <w:bCs/>
          <w:sz w:val="24"/>
        </w:rPr>
        <w:t>三、估值</w:t>
      </w:r>
      <w:r>
        <w:rPr>
          <w:rFonts w:hint="eastAsia"/>
          <w:bCs/>
          <w:sz w:val="24"/>
        </w:rPr>
        <w:t>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r>
        <w:rPr>
          <w:bCs/>
          <w:sz w:val="24"/>
        </w:rPr>
        <w:t xml:space="preserve"> </w:t>
      </w:r>
    </w:p>
    <w:p>
      <w:pPr>
        <w:spacing w:line="360" w:lineRule="auto"/>
        <w:ind w:firstLine="480" w:firstLineChars="20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Pr>
          <w:bCs/>
          <w:sz w:val="24"/>
        </w:rPr>
        <w:t xml:space="preserve"> </w:t>
      </w:r>
    </w:p>
    <w:p>
      <w:pPr>
        <w:spacing w:line="360" w:lineRule="auto"/>
        <w:ind w:firstLine="480" w:firstLineChars="20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Pr>
          <w:bCs/>
          <w:sz w:val="24"/>
        </w:rPr>
        <w:t xml:space="preserve"> </w:t>
      </w:r>
    </w:p>
    <w:p>
      <w:pPr>
        <w:spacing w:line="360" w:lineRule="auto"/>
        <w:ind w:firstLine="480" w:firstLineChars="200"/>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pPr>
        <w:spacing w:line="360" w:lineRule="auto"/>
        <w:ind w:firstLine="480" w:firstLineChars="200"/>
        <w:rPr>
          <w:bCs/>
          <w:sz w:val="24"/>
        </w:rPr>
      </w:pPr>
      <w:r>
        <w:rPr>
          <w:rFonts w:hint="eastAsia"/>
          <w:bCs/>
          <w:sz w:val="24"/>
        </w:rPr>
        <w:t>四、估值方法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pPr>
        <w:spacing w:line="360" w:lineRule="auto"/>
        <w:ind w:firstLine="480" w:firstLineChars="200"/>
        <w:rPr>
          <w:bCs/>
          <w:sz w:val="24"/>
        </w:rPr>
      </w:pPr>
      <w:r>
        <w:rPr>
          <w:rFonts w:hint="eastAsia"/>
          <w:bCs/>
          <w:sz w:val="24"/>
        </w:rPr>
        <w:t>（2）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pPr>
        <w:spacing w:line="360" w:lineRule="auto"/>
        <w:ind w:firstLine="480" w:firstLineChars="200"/>
        <w:rPr>
          <w:bCs/>
          <w:sz w:val="24"/>
        </w:rPr>
      </w:pPr>
      <w:r>
        <w:rPr>
          <w:rFonts w:hint="eastAsia"/>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pPr>
        <w:spacing w:line="360" w:lineRule="auto"/>
        <w:ind w:firstLine="480" w:firstLineChars="200"/>
        <w:rPr>
          <w:bCs/>
          <w:sz w:val="24"/>
        </w:rPr>
      </w:pPr>
      <w:r>
        <w:rPr>
          <w:rFonts w:hint="eastAsia"/>
          <w:bCs/>
          <w:sz w:val="24"/>
        </w:rPr>
        <w:t>（4）交易所上市不存在活跃市场的非固定收益类有价证券，采用估值技术确定公允价值。交易所上市的资产支持证券，采用估值技术确定公允价值，在估值技术难以可靠计量公允价值的情况下，按成本估值。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2、处于未上市期间的有价证券应区分如下情况处理：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（2）首次公开发行未上市的股票和债券，采用估值技术确定公允价值，在估值技术难以可靠计量公允价值的情况下，按成本估值；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pPr>
        <w:spacing w:line="360" w:lineRule="auto"/>
        <w:ind w:firstLine="480" w:firstLineChars="200"/>
        <w:rPr>
          <w:bCs/>
          <w:sz w:val="24"/>
        </w:rPr>
      </w:pPr>
      <w:r>
        <w:rPr>
          <w:rFonts w:hint="eastAsia"/>
          <w:bCs/>
          <w:sz w:val="24"/>
        </w:rPr>
        <w:t>3、全国银行间债券市场交易的债券、资产支持证券等固定收益品种，以第三方估值机构提供的价格数据估值。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rFonts w:hint="eastAsia"/>
          <w:bCs/>
          <w:sz w:val="24"/>
        </w:rPr>
        <w:t>5、本基金投资国债期货合约，一般以估值当日结算价进行估值，估值当日无结算价的，且最近交易日后经济环境未发生重大变化的，采用最近交易日结算价估值。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6、其他资产按法律法规或监管机构有关规定进行估值。</w:t>
      </w:r>
    </w:p>
    <w:p>
      <w:pPr>
        <w:spacing w:line="360" w:lineRule="auto"/>
        <w:ind w:firstLine="480" w:firstLineChars="200"/>
        <w:rPr>
          <w:bCs/>
          <w:sz w:val="24"/>
        </w:rPr>
      </w:pPr>
      <w:r>
        <w:rPr>
          <w:rFonts w:hint="eastAsia"/>
          <w:bCs/>
          <w:sz w:val="24"/>
        </w:rPr>
        <w:t>7、如有确凿证据表明按上述方法进行估值不能客观反映其公允价值的，基金管理人可根据具体情况与基金托管人商定后，按最能反映公允价值的方法估值。</w:t>
      </w:r>
    </w:p>
    <w:p>
      <w:pPr>
        <w:spacing w:line="360" w:lineRule="auto"/>
        <w:ind w:firstLine="480" w:firstLineChars="200"/>
        <w:rPr>
          <w:bCs/>
          <w:sz w:val="24"/>
        </w:rPr>
      </w:pPr>
      <w:r>
        <w:rPr>
          <w:rFonts w:hint="eastAsia"/>
          <w:bCs/>
          <w:sz w:val="24"/>
        </w:rPr>
        <w:t>8、当本基金发生大额申购或赎回情形时，基金管理人可以对本基金采用摆动定价机制，以确保基金估值的公平性。</w:t>
      </w:r>
    </w:p>
    <w:p>
      <w:pPr>
        <w:spacing w:line="360" w:lineRule="auto"/>
        <w:ind w:firstLine="480" w:firstLineChars="200"/>
        <w:rPr>
          <w:bCs/>
          <w:sz w:val="24"/>
        </w:rPr>
      </w:pPr>
      <w:r>
        <w:rPr>
          <w:rFonts w:hint="eastAsia"/>
          <w:bCs/>
          <w:sz w:val="24"/>
        </w:rPr>
        <w:t>9、相关法律法规以及监管部门有强制规定的，从其规定。如有新增事项，按国家最新规定估值。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五、估值程序</w:t>
      </w:r>
    </w:p>
    <w:p>
      <w:pPr>
        <w:spacing w:line="360" w:lineRule="auto"/>
        <w:ind w:firstLine="480" w:firstLineChars="20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pPr>
        <w:spacing w:line="360" w:lineRule="auto"/>
        <w:ind w:firstLine="480" w:firstLineChars="200"/>
        <w:rPr>
          <w:bCs/>
          <w:sz w:val="24"/>
        </w:rPr>
      </w:pPr>
      <w:r>
        <w:rPr>
          <w:rFonts w:hint="eastAsia"/>
          <w:bCs/>
          <w:sz w:val="24"/>
        </w:rPr>
        <w:t>基金管理人于每个工作日计算基金资产净值及基金份额净值，并按规定公告。</w:t>
      </w:r>
    </w:p>
    <w:p>
      <w:pPr>
        <w:spacing w:line="360" w:lineRule="auto"/>
        <w:ind w:firstLine="480" w:firstLineChars="20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约定对外公布。由此给基金份额持有人和基金造成的损失以及因该交易日基金资产净值计算顺延错误而引起的损失，由基金管理人负责赔付，基金托管人不负赔偿责任。</w:t>
      </w:r>
    </w:p>
    <w:p>
      <w:pPr>
        <w:spacing w:line="360" w:lineRule="auto"/>
        <w:ind w:firstLine="480" w:firstLineChars="200"/>
        <w:rPr>
          <w:bCs/>
          <w:sz w:val="24"/>
        </w:rPr>
      </w:pPr>
      <w:r>
        <w:rPr>
          <w:bCs/>
          <w:sz w:val="24"/>
        </w:rPr>
        <w:t>六、估值错误的处理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rFonts w:asciiTheme="minorEastAsia" w:hAnsiTheme="minorEastAsia" w:eastAsiaTheme="minorEastAsia"/>
          <w:bCs/>
          <w:sz w:val="24"/>
        </w:rPr>
      </w:pPr>
      <w:r>
        <w:rPr>
          <w:bCs/>
          <w:sz w:val="24"/>
        </w:rPr>
        <w:t>本基金运作过程中，如果由于基金管理人或基金托管人、或登记机构、或销售机构、或投资人自身的过错造成估值错误，导致其他当事人遭受损失的，过错的责任</w:t>
      </w:r>
      <w:r>
        <w:rPr>
          <w:rFonts w:hint="eastAsia" w:asciiTheme="minorEastAsia" w:hAnsiTheme="minorEastAsia" w:eastAsiaTheme="minorEastAsia"/>
          <w:bCs/>
          <w:sz w:val="24"/>
        </w:rPr>
        <w:t>人应当对由于该估值错误遭受损失当事人(“受损方”)的直接损失按下述“估值错误处理原则”给予赔偿，承担赔偿责任。</w:t>
      </w:r>
    </w:p>
    <w:p>
      <w:pPr>
        <w:spacing w:line="360" w:lineRule="auto"/>
        <w:ind w:firstLine="480" w:firstLineChars="200"/>
        <w:rPr>
          <w:bCs/>
          <w:sz w:val="24"/>
        </w:rPr>
      </w:pPr>
      <w:r>
        <w:rPr>
          <w:rFonts w:hint="eastAsia" w:asciiTheme="minorEastAsia" w:hAnsiTheme="minorEastAsia" w:eastAsiaTheme="minorEastAsia"/>
          <w:bCs/>
          <w:sz w:val="24"/>
        </w:rPr>
        <w:t>上述估值错误的主要类型包</w:t>
      </w:r>
      <w:r>
        <w:rPr>
          <w:bCs/>
          <w:sz w:val="24"/>
        </w:rPr>
        <w:t>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rFonts w:hint="eastAsia"/>
          <w:bCs/>
          <w:sz w:val="24"/>
        </w:rPr>
        <w:t>，并报中国证监会备案</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bCs/>
          <w:sz w:val="24"/>
        </w:rPr>
        <w:t>七、暂停估值的情形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
          <w:bCs/>
          <w:sz w:val="24"/>
        </w:rPr>
      </w:pPr>
      <w:r>
        <w:rPr>
          <w:rFonts w:hint="eastAsia"/>
          <w:bCs/>
          <w:sz w:val="24"/>
        </w:rPr>
        <w:t>3、</w:t>
      </w:r>
      <w:r>
        <w:rPr>
          <w:rFonts w:hint="eastAsia"/>
          <w:sz w:val="24"/>
        </w:rPr>
        <w:t>当特定资产占前一估值日基金资产净值</w:t>
      </w:r>
      <w:r>
        <w:rPr>
          <w:sz w:val="24"/>
        </w:rPr>
        <w:t>50%</w:t>
      </w:r>
      <w:r>
        <w:rPr>
          <w:rFonts w:hint="eastAsia"/>
          <w:sz w:val="24"/>
        </w:rPr>
        <w:t>以上的，经与基金托管人协商确认后，基金管理人应当暂停估值；</w:t>
      </w:r>
    </w:p>
    <w:p>
      <w:pPr>
        <w:spacing w:line="360" w:lineRule="auto"/>
        <w:ind w:firstLine="480" w:firstLineChars="200"/>
        <w:rPr>
          <w:bCs/>
          <w:sz w:val="24"/>
        </w:rPr>
      </w:pPr>
      <w:r>
        <w:rPr>
          <w:rFonts w:hint="eastAsia"/>
          <w:bCs/>
          <w:sz w:val="24"/>
        </w:rPr>
        <w:t>4</w:t>
      </w:r>
      <w:r>
        <w:rPr>
          <w:bCs/>
          <w:sz w:val="24"/>
        </w:rPr>
        <w:t>、中国证监会和基金合同认定的其它情形。</w:t>
      </w:r>
    </w:p>
    <w:p>
      <w:pPr>
        <w:spacing w:line="360" w:lineRule="auto"/>
        <w:ind w:firstLine="480" w:firstLineChars="200"/>
        <w:rPr>
          <w:bCs/>
          <w:sz w:val="24"/>
        </w:rPr>
      </w:pPr>
      <w:r>
        <w:rPr>
          <w:bCs/>
          <w:sz w:val="24"/>
        </w:rPr>
        <w:t>八、基金净值的确认</w:t>
      </w:r>
    </w:p>
    <w:p>
      <w:pPr>
        <w:spacing w:line="360" w:lineRule="auto"/>
        <w:ind w:firstLine="480" w:firstLineChars="20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日交易结束后计算当日的基金资产净值和基金份额净值并发送给基金托管人。基金托管人对净值计算结果复核确认后发送给基金管理人，由基金管理人对基金净值按约定予以公布。</w:t>
      </w:r>
    </w:p>
    <w:p>
      <w:pPr>
        <w:spacing w:line="360" w:lineRule="auto"/>
        <w:ind w:firstLine="480" w:firstLineChars="200"/>
        <w:rPr>
          <w:bCs/>
          <w:sz w:val="24"/>
        </w:rPr>
      </w:pPr>
      <w:bookmarkStart w:id="326" w:name="_Toc6493"/>
      <w:r>
        <w:rPr>
          <w:rFonts w:hint="eastAsia"/>
          <w:bCs/>
          <w:sz w:val="24"/>
        </w:rPr>
        <w:t xml:space="preserve">九、特殊情形的处理 </w:t>
      </w:r>
    </w:p>
    <w:p>
      <w:pPr>
        <w:spacing w:line="360" w:lineRule="auto"/>
        <w:ind w:firstLine="480" w:firstLineChars="200"/>
        <w:rPr>
          <w:bCs/>
          <w:sz w:val="24"/>
        </w:rPr>
      </w:pPr>
      <w:r>
        <w:rPr>
          <w:bCs/>
          <w:sz w:val="24"/>
        </w:rPr>
        <w:t>1</w:t>
      </w:r>
      <w:r>
        <w:rPr>
          <w:rFonts w:hint="eastAsia"/>
          <w:bCs/>
          <w:sz w:val="24"/>
        </w:rPr>
        <w:t>、基金管理人按估值方法的第</w:t>
      </w:r>
      <w:r>
        <w:rPr>
          <w:bCs/>
          <w:sz w:val="24"/>
        </w:rPr>
        <w:t>7、8</w:t>
      </w:r>
      <w:r>
        <w:rPr>
          <w:rFonts w:hint="eastAsia"/>
          <w:bCs/>
          <w:sz w:val="24"/>
        </w:rPr>
        <w:t>项进行估值时，所造成的误差不作为基金资产估值错误处理；</w:t>
      </w:r>
    </w:p>
    <w:p>
      <w:pPr>
        <w:spacing w:line="360" w:lineRule="auto"/>
        <w:ind w:firstLine="480" w:firstLineChars="200"/>
        <w:rPr>
          <w:bCs/>
          <w:sz w:val="24"/>
        </w:rPr>
      </w:pPr>
      <w:r>
        <w:rPr>
          <w:rFonts w:hint="eastAsia"/>
          <w:bCs/>
          <w:sz w:val="24"/>
        </w:rPr>
        <w:t>2、由于证券、期货交易所及其登记结算公司发送的数据错误或由于国家会计政策变更、市场规则变更和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pPr>
        <w:spacing w:line="360" w:lineRule="auto"/>
        <w:ind w:firstLine="480" w:firstLineChars="200"/>
        <w:rPr>
          <w:sz w:val="24"/>
        </w:rPr>
      </w:pPr>
      <w:r>
        <w:rPr>
          <w:rFonts w:hint="eastAsia"/>
          <w:sz w:val="24"/>
        </w:rPr>
        <w:t>十、实施侧袋机制期间的基金资产估值</w:t>
      </w:r>
    </w:p>
    <w:p>
      <w:pPr>
        <w:spacing w:line="360" w:lineRule="auto"/>
        <w:ind w:firstLine="480" w:firstLineChars="200"/>
        <w:rPr>
          <w:sz w:val="24"/>
        </w:rPr>
      </w:pPr>
      <w:r>
        <w:rPr>
          <w:rFonts w:hint="eastAsia"/>
          <w:sz w:val="24"/>
        </w:rPr>
        <w:t>本基金实施侧袋机制的，应根据本部分的约定对主袋账户资产进行估值并披露主袋账户的基金资产净值和份额净值，暂停披露侧袋账户份额净值。</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sz w:val="30"/>
        </w:rPr>
        <w:br w:type="page"/>
      </w:r>
      <w:bookmarkStart w:id="327" w:name="_Toc19706"/>
      <w:bookmarkStart w:id="328" w:name="_Toc32227"/>
      <w:bookmarkStart w:id="329" w:name="_Toc13987"/>
      <w:bookmarkStart w:id="330" w:name="_Toc32041"/>
      <w:bookmarkStart w:id="331" w:name="_Toc24601"/>
      <w:bookmarkStart w:id="332" w:name="_Toc3365"/>
      <w:bookmarkStart w:id="333" w:name="_Toc519229411"/>
      <w:bookmarkStart w:id="334" w:name="_Toc15779"/>
      <w:bookmarkStart w:id="335" w:name="_Toc12105"/>
      <w:bookmarkStart w:id="336" w:name="_Toc19752"/>
      <w:r>
        <w:rPr>
          <w:rFonts w:ascii="Times New Roman"/>
          <w:color w:val="auto"/>
          <w:sz w:val="30"/>
        </w:rPr>
        <w:t>第十</w:t>
      </w:r>
      <w:r>
        <w:rPr>
          <w:rFonts w:hint="eastAsia" w:ascii="Times New Roman"/>
          <w:color w:val="auto"/>
          <w:sz w:val="30"/>
        </w:rPr>
        <w:t>五</w:t>
      </w:r>
      <w:r>
        <w:rPr>
          <w:rFonts w:ascii="Times New Roman"/>
          <w:color w:val="auto"/>
          <w:sz w:val="30"/>
        </w:rPr>
        <w:t>部分  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3</w:t>
      </w:r>
      <w:r>
        <w:rPr>
          <w:bCs/>
          <w:sz w:val="24"/>
        </w:rPr>
        <w:t>、《基金合同》生效后与基金相关的信息披露费用；</w:t>
      </w:r>
    </w:p>
    <w:p>
      <w:pPr>
        <w:spacing w:line="360" w:lineRule="auto"/>
        <w:ind w:firstLine="480" w:firstLineChars="20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rFonts w:hint="eastAsia"/>
          <w:bCs/>
          <w:sz w:val="24"/>
        </w:rPr>
        <w:t>5</w:t>
      </w:r>
      <w:r>
        <w:rPr>
          <w:bCs/>
          <w:sz w:val="24"/>
        </w:rPr>
        <w:t>、基金份额持有人大会费用；</w:t>
      </w:r>
    </w:p>
    <w:p>
      <w:pPr>
        <w:spacing w:line="360" w:lineRule="auto"/>
        <w:ind w:firstLine="480" w:firstLineChars="200"/>
        <w:rPr>
          <w:bCs/>
          <w:sz w:val="24"/>
        </w:rPr>
      </w:pPr>
      <w:r>
        <w:rPr>
          <w:rFonts w:hint="eastAsia"/>
          <w:bCs/>
          <w:sz w:val="24"/>
        </w:rPr>
        <w:t>6</w:t>
      </w:r>
      <w:r>
        <w:rPr>
          <w:bCs/>
          <w:sz w:val="24"/>
        </w:rPr>
        <w:t>、基金的证券、期货交易费用；</w:t>
      </w:r>
    </w:p>
    <w:p>
      <w:pPr>
        <w:spacing w:line="360" w:lineRule="auto"/>
        <w:ind w:firstLine="480" w:firstLineChars="200"/>
        <w:rPr>
          <w:bCs/>
          <w:sz w:val="24"/>
        </w:rPr>
      </w:pPr>
      <w:r>
        <w:rPr>
          <w:rFonts w:hint="eastAsia"/>
          <w:bCs/>
          <w:sz w:val="24"/>
        </w:rPr>
        <w:t>7</w:t>
      </w:r>
      <w:r>
        <w:rPr>
          <w:bCs/>
          <w:sz w:val="24"/>
        </w:rPr>
        <w:t>、基金的银行汇划费用；</w:t>
      </w:r>
    </w:p>
    <w:p>
      <w:pPr>
        <w:spacing w:line="360" w:lineRule="auto"/>
        <w:ind w:firstLine="480" w:firstLineChars="200"/>
        <w:rPr>
          <w:bCs/>
          <w:sz w:val="24"/>
        </w:rPr>
      </w:pPr>
      <w:r>
        <w:rPr>
          <w:rFonts w:hint="eastAsia"/>
          <w:bCs/>
          <w:sz w:val="24"/>
        </w:rPr>
        <w:t>8</w:t>
      </w:r>
      <w:r>
        <w:rPr>
          <w:bCs/>
          <w:sz w:val="24"/>
        </w:rPr>
        <w:t>、</w:t>
      </w:r>
      <w:r>
        <w:rPr>
          <w:rFonts w:hint="eastAsia"/>
          <w:bCs/>
          <w:sz w:val="24"/>
        </w:rPr>
        <w:t>基金相关账户的开户费用和维护费用；</w:t>
      </w:r>
    </w:p>
    <w:p>
      <w:pPr>
        <w:spacing w:line="360" w:lineRule="auto"/>
        <w:ind w:firstLine="480" w:firstLineChars="200"/>
        <w:rPr>
          <w:bCs/>
          <w:sz w:val="24"/>
        </w:rPr>
      </w:pPr>
      <w:r>
        <w:rPr>
          <w:rFonts w:hint="eastAsia"/>
          <w:bCs/>
          <w:sz w:val="24"/>
        </w:rPr>
        <w:t>9</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w:t>
      </w:r>
      <w:r>
        <w:rPr>
          <w:rFonts w:hint="eastAsia"/>
          <w:bCs/>
          <w:sz w:val="24"/>
        </w:rPr>
        <w:t>0.35%</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0.35%</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rFonts w:ascii="宋体" w:hAnsi="宋体"/>
          <w:sz w:val="24"/>
          <w:szCs w:val="24"/>
        </w:rPr>
      </w:pPr>
      <w:r>
        <w:rPr>
          <w:rFonts w:hint="eastAsia"/>
          <w:bCs/>
          <w:sz w:val="24"/>
        </w:rPr>
        <w:t>基金管理费每日计提，按月支付。由基金托管人根据与基金管理人核对一致的财务数据，自动在次月初</w:t>
      </w:r>
      <w:r>
        <w:rPr>
          <w:bCs/>
          <w:sz w:val="24"/>
        </w:rPr>
        <w:t>5</w:t>
      </w:r>
      <w:r>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0.08</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0.08</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rFonts w:ascii="宋体" w:hAnsi="宋体"/>
          <w:sz w:val="24"/>
          <w:szCs w:val="24"/>
        </w:rPr>
      </w:pPr>
      <w:r>
        <w:rPr>
          <w:bCs/>
          <w:sz w:val="24"/>
        </w:rPr>
        <w:t>基金</w:t>
      </w:r>
      <w:r>
        <w:rPr>
          <w:rFonts w:hint="eastAsia"/>
          <w:bCs/>
          <w:sz w:val="24"/>
        </w:rPr>
        <w:t>托管</w:t>
      </w:r>
      <w:r>
        <w:rPr>
          <w:bCs/>
          <w:sz w:val="24"/>
        </w:rPr>
        <w:t>费每日计提，按月支付。由</w:t>
      </w:r>
      <w:r>
        <w:rPr>
          <w:rFonts w:hint="eastAsia"/>
          <w:bCs/>
          <w:sz w:val="24"/>
        </w:rPr>
        <w:t>基金托管人根据与基金管理人核对一致的财务数据，自动在次月初5个工作日内按照指定的账户路径</w:t>
      </w:r>
      <w:r>
        <w:rPr>
          <w:bCs/>
          <w:sz w:val="24"/>
        </w:rPr>
        <w:t>进行支付。若遇法定节假日、休息日等，支付日期顺延。</w:t>
      </w:r>
      <w:r>
        <w:rPr>
          <w:rFonts w:hint="eastAsia"/>
          <w:bCs/>
          <w:sz w:val="24"/>
        </w:rPr>
        <w:t>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一、基金费用的种类中第</w:t>
      </w:r>
      <w:r>
        <w:rPr>
          <w:rFonts w:hint="eastAsia"/>
          <w:bCs/>
          <w:sz w:val="24"/>
        </w:rPr>
        <w:t>3</w:t>
      </w:r>
      <w:r>
        <w:rPr>
          <w:bCs/>
          <w:sz w:val="24"/>
        </w:rPr>
        <w:t>－</w:t>
      </w:r>
      <w:r>
        <w:rPr>
          <w:rFonts w:hint="eastAsia"/>
          <w:bCs/>
          <w:sz w:val="24"/>
        </w:rPr>
        <w:t>9</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7" w:name="_Hlt88827255"/>
      <w:bookmarkEnd w:id="337"/>
    </w:p>
    <w:p>
      <w:pPr>
        <w:spacing w:line="360" w:lineRule="auto"/>
        <w:ind w:firstLine="480" w:firstLineChars="200"/>
        <w:rPr>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pStyle w:val="2"/>
        <w:spacing w:before="0" w:after="0"/>
        <w:jc w:val="center"/>
        <w:rPr>
          <w:rFonts w:ascii="Times New Roman"/>
          <w:color w:val="auto"/>
          <w:sz w:val="30"/>
        </w:rPr>
      </w:pPr>
      <w:bookmarkStart w:id="338" w:name="_Toc93226149"/>
      <w:bookmarkStart w:id="339" w:name="_Toc92662707"/>
      <w:bookmarkStart w:id="340" w:name="_Toc22552"/>
      <w:bookmarkStart w:id="341" w:name="_Toc128310499"/>
      <w:bookmarkStart w:id="342" w:name="_Toc139991746"/>
      <w:bookmarkStart w:id="343" w:name="_Toc141703896"/>
      <w:r>
        <w:rPr>
          <w:rFonts w:ascii="Times New Roman"/>
          <w:b w:val="0"/>
          <w:bCs/>
          <w:color w:val="auto"/>
          <w:sz w:val="30"/>
        </w:rPr>
        <w:br w:type="page"/>
      </w:r>
      <w:bookmarkStart w:id="344" w:name="_Toc178"/>
      <w:bookmarkStart w:id="345" w:name="_Toc15351"/>
      <w:bookmarkStart w:id="346" w:name="_Toc25883"/>
      <w:bookmarkStart w:id="347" w:name="_Toc20052"/>
      <w:bookmarkStart w:id="348" w:name="_Toc15525"/>
      <w:bookmarkStart w:id="349" w:name="_Toc12761"/>
      <w:bookmarkStart w:id="350" w:name="_Toc519229412"/>
      <w:bookmarkStart w:id="351" w:name="_Toc3656"/>
      <w:bookmarkStart w:id="352" w:name="_Toc21829"/>
      <w:bookmarkStart w:id="353" w:name="_Toc1617"/>
      <w:bookmarkStart w:id="354" w:name="_Toc19558"/>
      <w:r>
        <w:rPr>
          <w:rFonts w:ascii="Times New Roman"/>
          <w:color w:val="auto"/>
          <w:sz w:val="30"/>
        </w:rPr>
        <w:t>第十</w:t>
      </w:r>
      <w:r>
        <w:rPr>
          <w:rFonts w:hint="eastAsia" w:ascii="Times New Roman"/>
          <w:color w:val="auto"/>
          <w:sz w:val="30"/>
        </w:rPr>
        <w:t>六</w:t>
      </w:r>
      <w:r>
        <w:rPr>
          <w:rFonts w:ascii="Times New Roman"/>
          <w:color w:val="auto"/>
          <w:sz w:val="30"/>
        </w:rPr>
        <w:t>部分  基金</w:t>
      </w:r>
      <w:bookmarkEnd w:id="338"/>
      <w:bookmarkEnd w:id="339"/>
      <w:r>
        <w:rPr>
          <w:rFonts w:ascii="Times New Roman"/>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1、在符合有关基金分红条件的前提下，</w:t>
      </w:r>
      <w:r>
        <w:rPr>
          <w:bCs/>
          <w:sz w:val="24"/>
        </w:rPr>
        <w:t>本基金基金管理人可以根据实际情况进行收益分配，具体分配方案以公告为准</w:t>
      </w:r>
      <w:r>
        <w:rPr>
          <w:rFonts w:hint="eastAsia"/>
          <w:bCs/>
          <w:sz w:val="24"/>
        </w:rPr>
        <w:t>，若《基金合同》生效不满3个月可不进行收益分配；</w:t>
      </w:r>
    </w:p>
    <w:p>
      <w:pPr>
        <w:spacing w:line="360" w:lineRule="auto"/>
        <w:ind w:firstLine="540" w:firstLineChars="225"/>
        <w:rPr>
          <w:bCs/>
          <w:sz w:val="24"/>
        </w:rPr>
      </w:pPr>
      <w:r>
        <w:rPr>
          <w:rFonts w:hint="eastAsia"/>
          <w:bCs/>
          <w:sz w:val="24"/>
        </w:rPr>
        <w:t>2、本基金收益分配方式分两种：现金分红与红利再投资，投资者可选择现金红利或将现金红利自动转为基金份额进行再投资；若投资者不选择，本基金默认的收益分配方式是现金分红；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sz w:val="24"/>
        </w:rPr>
      </w:pPr>
      <w:r>
        <w:rPr>
          <w:rFonts w:hint="eastAsia"/>
          <w:bCs/>
          <w:sz w:val="24"/>
        </w:rPr>
        <w:t>3、基金收益分配后基金份额净值不能低于面值；即基金收益分配基准日的基金份额净值减去每单位基金份额收益分配金额后不能低于面值；</w:t>
      </w:r>
    </w:p>
    <w:p>
      <w:pPr>
        <w:spacing w:line="360" w:lineRule="auto"/>
        <w:ind w:firstLine="540" w:firstLineChars="225"/>
        <w:rPr>
          <w:bCs/>
          <w:sz w:val="24"/>
        </w:rPr>
      </w:pPr>
      <w:r>
        <w:rPr>
          <w:rFonts w:hint="eastAsia"/>
          <w:bCs/>
          <w:sz w:val="24"/>
        </w:rPr>
        <w:t>4、每一基金份额享有同等分配权；</w:t>
      </w:r>
    </w:p>
    <w:p>
      <w:pPr>
        <w:spacing w:line="360" w:lineRule="auto"/>
        <w:ind w:firstLine="540" w:firstLineChars="225"/>
        <w:rPr>
          <w:bCs/>
          <w:sz w:val="24"/>
        </w:rPr>
      </w:pPr>
      <w:r>
        <w:rPr>
          <w:rFonts w:hint="eastAsia"/>
          <w:bCs/>
          <w:sz w:val="24"/>
        </w:rPr>
        <w:t>5、法律法规或监管机关另有规定的，从其规定。</w:t>
      </w:r>
    </w:p>
    <w:p>
      <w:pPr>
        <w:spacing w:line="360" w:lineRule="auto"/>
        <w:ind w:firstLine="540" w:firstLineChars="225"/>
        <w:rPr>
          <w:bCs/>
          <w:sz w:val="24"/>
        </w:rPr>
      </w:pPr>
      <w:r>
        <w:rPr>
          <w:rFonts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 的有关规定</w:t>
      </w:r>
      <w:r>
        <w:rPr>
          <w:bCs/>
          <w:sz w:val="24"/>
        </w:rPr>
        <w:t>在规定媒介公告。</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bCs/>
          <w:sz w:val="24"/>
        </w:rPr>
      </w:pPr>
      <w:r>
        <w:rPr>
          <w:rFonts w:hint="eastAsia"/>
          <w:bCs/>
          <w:sz w:val="24"/>
        </w:rPr>
        <w:t>七、实施侧袋机制期间的收益分配</w:t>
      </w:r>
    </w:p>
    <w:p>
      <w:pPr>
        <w:spacing w:line="360" w:lineRule="auto"/>
        <w:ind w:firstLine="540" w:firstLineChars="225"/>
        <w:rPr>
          <w:b/>
          <w:sz w:val="24"/>
        </w:rPr>
      </w:pPr>
      <w:r>
        <w:rPr>
          <w:rFonts w:hint="eastAsia"/>
          <w:bCs/>
          <w:sz w:val="24"/>
        </w:rPr>
        <w:t>本基金实施侧袋机制的，侧袋账户不进行收益分配，详见招募说明书的规定。</w:t>
      </w:r>
    </w:p>
    <w:p>
      <w:pPr>
        <w:spacing w:line="360" w:lineRule="auto"/>
        <w:ind w:firstLine="540" w:firstLineChars="225"/>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55" w:name="_Toc93226150"/>
      <w:bookmarkStart w:id="356" w:name="_Toc92662708"/>
      <w:bookmarkStart w:id="357" w:name="_Toc13255"/>
      <w:bookmarkStart w:id="358" w:name="_Toc18747"/>
      <w:bookmarkStart w:id="359" w:name="_Toc519229413"/>
      <w:bookmarkStart w:id="360" w:name="_Toc141703897"/>
      <w:bookmarkStart w:id="361" w:name="_Toc139991747"/>
      <w:bookmarkStart w:id="362" w:name="_Toc29695"/>
      <w:bookmarkStart w:id="363" w:name="_Toc17499"/>
      <w:bookmarkStart w:id="364" w:name="_Toc31736"/>
      <w:bookmarkStart w:id="365" w:name="_Toc1043"/>
      <w:bookmarkStart w:id="366" w:name="_Toc128310500"/>
      <w:bookmarkStart w:id="367" w:name="_Toc23859"/>
      <w:bookmarkStart w:id="368" w:name="_Toc18007"/>
      <w:bookmarkStart w:id="369" w:name="_Toc28961"/>
      <w:bookmarkStart w:id="370" w:name="_Toc10894"/>
      <w:bookmarkStart w:id="371" w:name="_Toc21206"/>
      <w:r>
        <w:rPr>
          <w:rFonts w:ascii="Times New Roman"/>
          <w:color w:val="auto"/>
          <w:sz w:val="30"/>
        </w:rPr>
        <w:t>第十</w:t>
      </w:r>
      <w:r>
        <w:rPr>
          <w:rFonts w:hint="eastAsia" w:ascii="Times New Roman"/>
          <w:color w:val="auto"/>
          <w:sz w:val="30"/>
        </w:rPr>
        <w:t>七</w:t>
      </w:r>
      <w:r>
        <w:rPr>
          <w:rFonts w:ascii="Times New Roman"/>
          <w:color w:val="auto"/>
          <w:sz w:val="30"/>
        </w:rPr>
        <w:t>部分  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2、基金的会计年度为公历年度的1月1日至12月31日；基金首次募集的会计年度按如下原则：如果《基金合同》生效少于2个月，可以并入下一个会计年度披露；</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w:t>
      </w:r>
      <w:r>
        <w:rPr>
          <w:rFonts w:hint="eastAsia"/>
          <w:bCs/>
          <w:sz w:val="24"/>
        </w:rPr>
        <w:t>托管协议约定的</w:t>
      </w:r>
      <w:r>
        <w:rPr>
          <w:bCs/>
          <w:sz w:val="24"/>
        </w:rPr>
        <w:t>方式确认。</w:t>
      </w:r>
    </w:p>
    <w:p>
      <w:pPr>
        <w:spacing w:line="360" w:lineRule="auto"/>
        <w:ind w:firstLine="480" w:firstLineChars="200"/>
        <w:rPr>
          <w:bCs/>
          <w:sz w:val="24"/>
        </w:rPr>
      </w:pP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w:t>
      </w:r>
      <w:r>
        <w:rPr>
          <w:rFonts w:hint="eastAsia"/>
          <w:bCs/>
          <w:sz w:val="24"/>
        </w:rPr>
        <w:t>具有证券、</w:t>
      </w:r>
      <w:r>
        <w:rPr>
          <w:bCs/>
          <w:sz w:val="24"/>
        </w:rPr>
        <w:t>期货相关业务</w:t>
      </w:r>
      <w:r>
        <w:rPr>
          <w:rFonts w:hint="eastAsia"/>
          <w:bCs/>
          <w:sz w:val="24"/>
        </w:rPr>
        <w:t>资格</w:t>
      </w:r>
      <w:r>
        <w:rPr>
          <w:bCs/>
          <w:sz w:val="24"/>
        </w:rPr>
        <w:t>的</w:t>
      </w:r>
      <w:r>
        <w:rPr>
          <w:rFonts w:hint="eastAsia"/>
          <w:bCs/>
          <w:sz w:val="24"/>
        </w:rPr>
        <w:t>会计</w:t>
      </w:r>
      <w:r>
        <w:rPr>
          <w:bCs/>
          <w:sz w:val="24"/>
        </w:rPr>
        <w:t>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72" w:name="_Hlt4221115"/>
      <w:bookmarkEnd w:id="372"/>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73" w:name="_Toc93226151"/>
      <w:bookmarkStart w:id="374" w:name="_Toc92662709"/>
      <w:bookmarkStart w:id="375" w:name="_Toc11802"/>
      <w:bookmarkStart w:id="376" w:name="_Toc193"/>
      <w:bookmarkStart w:id="377" w:name="_Toc141703898"/>
      <w:bookmarkStart w:id="378" w:name="_Toc128310501"/>
      <w:bookmarkStart w:id="379" w:name="_Toc1421"/>
      <w:bookmarkStart w:id="380" w:name="_Toc8512"/>
      <w:bookmarkStart w:id="381" w:name="_Toc11049"/>
      <w:bookmarkStart w:id="382" w:name="_Toc1173"/>
      <w:bookmarkStart w:id="383" w:name="_Toc29289"/>
      <w:bookmarkStart w:id="384" w:name="_Toc31866"/>
      <w:bookmarkStart w:id="385" w:name="_Toc519229414"/>
      <w:bookmarkStart w:id="386" w:name="_Toc21351"/>
      <w:bookmarkStart w:id="387" w:name="_Toc3056"/>
      <w:bookmarkStart w:id="388" w:name="_Toc12028"/>
      <w:bookmarkStart w:id="389" w:name="_Toc139991748"/>
      <w:r>
        <w:rPr>
          <w:rFonts w:ascii="Times New Roman"/>
          <w:color w:val="auto"/>
          <w:sz w:val="30"/>
        </w:rPr>
        <w:t>第十</w:t>
      </w:r>
      <w:r>
        <w:rPr>
          <w:rFonts w:hint="eastAsia" w:ascii="Times New Roman"/>
          <w:color w:val="auto"/>
          <w:sz w:val="30"/>
        </w:rPr>
        <w:t>八</w:t>
      </w:r>
      <w:r>
        <w:rPr>
          <w:rFonts w:ascii="Times New Roman"/>
          <w:color w:val="auto"/>
          <w:sz w:val="30"/>
        </w:rPr>
        <w:t>部分  基金</w:t>
      </w:r>
      <w:bookmarkEnd w:id="373"/>
      <w:bookmarkEnd w:id="374"/>
      <w:r>
        <w:rPr>
          <w:rFonts w:ascii="Times New Roman"/>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相关法律对信息披露的方式、登载媒介、报备方式等规定发生变化时，本基金从其最新规定。</w:t>
      </w:r>
    </w:p>
    <w:p>
      <w:pPr>
        <w:spacing w:line="360" w:lineRule="auto"/>
        <w:ind w:firstLine="480" w:firstLineChars="200"/>
        <w:rPr>
          <w:bCs/>
          <w:sz w:val="24"/>
        </w:rPr>
      </w:pP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本基金信息披露义务人应当</w:t>
      </w:r>
      <w:r>
        <w:rPr>
          <w:rFonts w:hint="eastAsia"/>
          <w:bCs/>
          <w:sz w:val="24"/>
        </w:rPr>
        <w:t>以保护基金份额持有人利益为根本出发点，</w:t>
      </w:r>
      <w:r>
        <w:rPr>
          <w:bCs/>
          <w:sz w:val="24"/>
        </w:rPr>
        <w:t>按照法律法规和中国证监会的规定披露基金信息，并保证所披露信息的真实性、准确性、完整性</w:t>
      </w:r>
      <w:r>
        <w:rPr>
          <w:rFonts w:hint="eastAsia"/>
          <w:bCs/>
          <w:sz w:val="24"/>
        </w:rPr>
        <w:t>、及时性、简明性和易得性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本基金信息披露义务人应当在中国证监会规定时间内，将应予披露的基金信息通过符合中国证监会规定条件的</w:t>
      </w:r>
      <w:r>
        <w:rPr>
          <w:rFonts w:hint="eastAsia"/>
          <w:bCs/>
          <w:sz w:val="24"/>
        </w:rPr>
        <w:t>全国性报刊（以下简称“规定报刊”）及</w:t>
      </w:r>
      <w:r>
        <w:rPr>
          <w:bCs/>
          <w:sz w:val="24"/>
        </w:rPr>
        <w:t>《信息披露办法》规定的互联网网站（以下简称“</w:t>
      </w:r>
      <w:r>
        <w:rPr>
          <w:rFonts w:hint="eastAsia"/>
          <w:bCs/>
          <w:sz w:val="24"/>
        </w:rPr>
        <w:t>规定网站</w:t>
      </w:r>
      <w:r>
        <w:rPr>
          <w:bCs/>
          <w:sz w:val="24"/>
        </w:rPr>
        <w:t>”）等媒介披露，并保证基金投资者能够按照《基金合同》约定的时间和方式查阅或者复制公开披露的信息资料。</w:t>
      </w:r>
    </w:p>
    <w:p>
      <w:pPr>
        <w:spacing w:line="360" w:lineRule="auto"/>
        <w:ind w:firstLine="480" w:firstLineChars="200"/>
        <w:rPr>
          <w:bCs/>
          <w:sz w:val="24"/>
        </w:rPr>
      </w:pP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w:t>
      </w:r>
      <w:r>
        <w:rPr>
          <w:bCs/>
          <w:sz w:val="24"/>
        </w:rPr>
        <w:t>非法人组织的祝贺性、恭维性或推荐性的文字；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p>
    <w:p>
      <w:pPr>
        <w:spacing w:line="360" w:lineRule="auto"/>
        <w:ind w:firstLine="480" w:firstLineChars="200"/>
        <w:rPr>
          <w:bCs/>
          <w:sz w:val="24"/>
        </w:rPr>
      </w:pPr>
      <w:r>
        <w:rPr>
          <w:bCs/>
          <w:sz w:val="24"/>
        </w:rPr>
        <w:t>四、本基金公开披露的信息应采用中文文本。如同时采用外文文本的，基金信息披露义务人应保证不同文本的内容一致。</w:t>
      </w:r>
      <w:r>
        <w:rPr>
          <w:rFonts w:hint="eastAsia"/>
          <w:bCs/>
          <w:sz w:val="24"/>
        </w:rPr>
        <w:t>不同</w:t>
      </w:r>
      <w:r>
        <w:rPr>
          <w:bCs/>
          <w:sz w:val="24"/>
        </w:rPr>
        <w:t>文本之间发生歧义的，以中文文本为准。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基金管理人应当就基金份额发售的具体事宜编制基金份额发售公告，并在披露招募说明书的当日登载于规定媒介上。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w:t>
      </w:r>
      <w:r>
        <w:rPr>
          <w:rFonts w:hint="eastAsia"/>
          <w:bCs/>
          <w:sz w:val="24"/>
        </w:rPr>
        <w:t>（若遇法定节假日指定报刊休刊，则顺延至法定节假日后首个出报日。下同）</w:t>
      </w:r>
      <w:r>
        <w:rPr>
          <w:bCs/>
          <w:sz w:val="24"/>
        </w:rPr>
        <w:t>在规定媒介上登载《基金合同》生效公告。</w:t>
      </w:r>
    </w:p>
    <w:p>
      <w:pPr>
        <w:spacing w:line="360" w:lineRule="auto"/>
        <w:ind w:firstLine="480" w:firstLineChars="200"/>
        <w:rPr>
          <w:bCs/>
          <w:sz w:val="24"/>
        </w:rPr>
      </w:pPr>
      <w:r>
        <w:rPr>
          <w:bCs/>
          <w:sz w:val="24"/>
        </w:rPr>
        <w:t>（</w:t>
      </w:r>
      <w:r>
        <w:rPr>
          <w:rFonts w:hint="eastAsia"/>
          <w:bCs/>
          <w:sz w:val="24"/>
        </w:rPr>
        <w:t>四</w:t>
      </w:r>
      <w:r>
        <w:rPr>
          <w:bCs/>
          <w:sz w:val="24"/>
        </w:rPr>
        <w:t>）基金</w:t>
      </w:r>
      <w:r>
        <w:rPr>
          <w:rFonts w:hint="eastAsia"/>
          <w:bCs/>
          <w:sz w:val="24"/>
        </w:rPr>
        <w:t>净值信息</w:t>
      </w:r>
    </w:p>
    <w:p>
      <w:pPr>
        <w:spacing w:line="360" w:lineRule="auto"/>
        <w:ind w:firstLine="480" w:firstLineChars="200"/>
        <w:rPr>
          <w:bCs/>
          <w:sz w:val="24"/>
        </w:rPr>
      </w:pPr>
      <w:r>
        <w:rPr>
          <w:bCs/>
          <w:sz w:val="24"/>
        </w:rPr>
        <w:t>《基金合同》生效后，</w:t>
      </w:r>
      <w:r>
        <w:rPr>
          <w:rFonts w:hint="eastAsia"/>
          <w:bCs/>
          <w:sz w:val="24"/>
        </w:rPr>
        <w:t>在封闭期内</w:t>
      </w:r>
      <w:r>
        <w:rPr>
          <w:bCs/>
          <w:sz w:val="24"/>
        </w:rPr>
        <w:t>，基金管理人应当至少每周</w:t>
      </w:r>
      <w:r>
        <w:rPr>
          <w:rFonts w:hint="eastAsia"/>
          <w:bCs/>
          <w:sz w:val="24"/>
        </w:rPr>
        <w:t>在规定网站披露</w:t>
      </w:r>
      <w:r>
        <w:rPr>
          <w:bCs/>
          <w:sz w:val="24"/>
        </w:rPr>
        <w:t>一次基金</w:t>
      </w:r>
      <w:r>
        <w:rPr>
          <w:rFonts w:hint="eastAsia"/>
          <w:bCs/>
          <w:sz w:val="24"/>
        </w:rPr>
        <w:t>份额</w:t>
      </w:r>
      <w:r>
        <w:rPr>
          <w:bCs/>
          <w:sz w:val="24"/>
        </w:rPr>
        <w:t>净值和</w:t>
      </w:r>
      <w:r>
        <w:rPr>
          <w:rFonts w:hint="eastAsia"/>
          <w:bCs/>
          <w:sz w:val="24"/>
        </w:rPr>
        <w:t>基金份额累计净值</w:t>
      </w:r>
      <w:r>
        <w:rPr>
          <w:bCs/>
          <w:sz w:val="24"/>
        </w:rPr>
        <w:t>。</w:t>
      </w:r>
    </w:p>
    <w:p>
      <w:pPr>
        <w:spacing w:line="360" w:lineRule="auto"/>
        <w:ind w:firstLine="480" w:firstLineChars="200"/>
        <w:rPr>
          <w:bCs/>
          <w:sz w:val="24"/>
        </w:rPr>
      </w:pPr>
      <w:r>
        <w:rPr>
          <w:bCs/>
          <w:sz w:val="24"/>
        </w:rPr>
        <w:t>在</w:t>
      </w:r>
      <w:r>
        <w:rPr>
          <w:rFonts w:hint="eastAsia"/>
          <w:bCs/>
          <w:sz w:val="24"/>
        </w:rPr>
        <w:t>开放期内</w:t>
      </w:r>
      <w:r>
        <w:rPr>
          <w:bCs/>
          <w:sz w:val="24"/>
        </w:rPr>
        <w:t>，基金管理人应当在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披露开放日的基金份额净值和基金份额累计净值。</w:t>
      </w:r>
    </w:p>
    <w:p>
      <w:pPr>
        <w:spacing w:line="360" w:lineRule="auto"/>
        <w:ind w:firstLine="480" w:firstLineChars="20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pPr>
        <w:spacing w:line="360" w:lineRule="auto"/>
        <w:ind w:firstLine="480" w:firstLineChars="200"/>
        <w:rPr>
          <w:bCs/>
          <w:sz w:val="24"/>
        </w:rPr>
      </w:pPr>
      <w:r>
        <w:rPr>
          <w:bCs/>
          <w:sz w:val="24"/>
        </w:rPr>
        <w:t>（</w:t>
      </w:r>
      <w:r>
        <w:rPr>
          <w:rFonts w:hint="eastAsia"/>
          <w:bCs/>
          <w:sz w:val="24"/>
        </w:rPr>
        <w:t>五</w:t>
      </w:r>
      <w:r>
        <w:rPr>
          <w:bCs/>
          <w:sz w:val="24"/>
        </w:rPr>
        <w:t>）基金份额申购、赎回价格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pPr>
        <w:spacing w:line="360" w:lineRule="auto"/>
        <w:ind w:firstLine="480" w:firstLineChars="200"/>
        <w:rPr>
          <w:bCs/>
          <w:sz w:val="24"/>
        </w:rPr>
      </w:pPr>
      <w:r>
        <w:rPr>
          <w:bCs/>
          <w:sz w:val="24"/>
        </w:rPr>
        <w:t>（</w:t>
      </w:r>
      <w:r>
        <w:rPr>
          <w:rFonts w:hint="eastAsia"/>
          <w:bCs/>
          <w:sz w:val="24"/>
        </w:rPr>
        <w:t>六</w:t>
      </w:r>
      <w:r>
        <w:rPr>
          <w:bCs/>
          <w:sz w:val="24"/>
        </w:rPr>
        <w:t>）基金定期报告，包括基金年度报告、基金</w:t>
      </w:r>
      <w:r>
        <w:rPr>
          <w:rFonts w:hint="eastAsia"/>
          <w:bCs/>
          <w:sz w:val="24"/>
        </w:rPr>
        <w:t>中期报告</w:t>
      </w:r>
      <w:r>
        <w:rPr>
          <w:bCs/>
          <w:sz w:val="24"/>
        </w:rPr>
        <w:t>和基金季度报告</w:t>
      </w:r>
    </w:p>
    <w:p>
      <w:pPr>
        <w:spacing w:line="360" w:lineRule="auto"/>
        <w:ind w:firstLine="480" w:firstLineChars="200"/>
        <w:rPr>
          <w:bCs/>
          <w:sz w:val="24"/>
        </w:rPr>
      </w:pPr>
      <w:r>
        <w:rPr>
          <w:bCs/>
          <w:sz w:val="24"/>
        </w:rPr>
        <w:t>基金管理人应当在每年结束之日起三个月内，编制完成基金年度报告，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符合《证券法》规定的会计师事务所</w:t>
      </w:r>
      <w:r>
        <w:rPr>
          <w:bCs/>
          <w:sz w:val="24"/>
        </w:rPr>
        <w:t>审计。</w:t>
      </w:r>
    </w:p>
    <w:p>
      <w:pPr>
        <w:spacing w:line="360" w:lineRule="auto"/>
        <w:ind w:firstLine="480" w:firstLineChars="200"/>
        <w:rPr>
          <w:bCs/>
          <w:sz w:val="24"/>
        </w:rPr>
      </w:pPr>
      <w:r>
        <w:rPr>
          <w:bCs/>
          <w:sz w:val="24"/>
        </w:rPr>
        <w:t>基金管理人应当在上半年结束之日起两个月内，编制完成基金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pPr>
        <w:spacing w:line="360" w:lineRule="auto"/>
        <w:ind w:firstLine="480" w:firstLineChars="200"/>
        <w:rPr>
          <w:bCs/>
          <w:sz w:val="24"/>
        </w:rPr>
      </w:pPr>
      <w:r>
        <w:rPr>
          <w:bCs/>
          <w:sz w:val="24"/>
        </w:rPr>
        <w:t>基金管理人应当在季度结束之日起15个工作日内，编制完成基金季度报告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中期报告</w:t>
      </w:r>
      <w:r>
        <w:rPr>
          <w:bCs/>
          <w:sz w:val="24"/>
        </w:rPr>
        <w:t>或者年度报告。</w:t>
      </w:r>
    </w:p>
    <w:p>
      <w:pPr>
        <w:spacing w:line="360" w:lineRule="auto"/>
        <w:ind w:firstLine="480" w:firstLineChars="200"/>
        <w:rPr>
          <w:bCs/>
          <w:sz w:val="24"/>
        </w:rPr>
      </w:pPr>
      <w:r>
        <w:rPr>
          <w:rFonts w:hint="eastAsia"/>
          <w:bCs/>
          <w:sz w:val="24"/>
        </w:rPr>
        <w:t>基金管理人应在年度报告、中期报告报告、季度报告中分别披露基金管理人、基金管理人高级管理人员、基金经理等投资管理人员以及基金管理人股东持有基金的份额、期限及期间的变动情况。</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w:t>
      </w:r>
      <w:r>
        <w:rPr>
          <w:rFonts w:hint="eastAsia"/>
          <w:bCs/>
          <w:sz w:val="24"/>
        </w:rPr>
        <w:t>七</w:t>
      </w:r>
      <w:r>
        <w:rPr>
          <w:bCs/>
          <w:sz w:val="24"/>
        </w:rPr>
        <w:t>）临时报告</w:t>
      </w:r>
    </w:p>
    <w:p>
      <w:pPr>
        <w:spacing w:line="360" w:lineRule="auto"/>
        <w:ind w:firstLine="480" w:firstLineChars="200"/>
        <w:rPr>
          <w:bCs/>
          <w:sz w:val="24"/>
        </w:rPr>
      </w:pPr>
      <w:r>
        <w:rPr>
          <w:bCs/>
          <w:sz w:val="24"/>
        </w:rPr>
        <w:t>本基金发生重大事件，有关信息披露义务人应当在2日内编制临时报告书，</w:t>
      </w:r>
      <w:r>
        <w:rPr>
          <w:rFonts w:hint="eastAsia"/>
          <w:bCs/>
          <w:sz w:val="24"/>
        </w:rPr>
        <w:t>并登载在规定报刊和规定网站上</w:t>
      </w:r>
      <w:r>
        <w:rPr>
          <w:bCs/>
          <w:sz w:val="24"/>
        </w:rPr>
        <w:t>。</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终止、基金清算</w:t>
      </w:r>
      <w:r>
        <w:rPr>
          <w:bCs/>
          <w:sz w:val="24"/>
        </w:rPr>
        <w:t>；</w:t>
      </w:r>
    </w:p>
    <w:p>
      <w:pPr>
        <w:spacing w:line="360" w:lineRule="auto"/>
        <w:ind w:firstLine="480" w:firstLineChars="200"/>
        <w:rPr>
          <w:bCs/>
          <w:sz w:val="24"/>
        </w:rPr>
      </w:pPr>
      <w:r>
        <w:rPr>
          <w:bCs/>
          <w:sz w:val="24"/>
        </w:rPr>
        <w:t>3、转换基金运作方式</w:t>
      </w:r>
      <w:r>
        <w:rPr>
          <w:rFonts w:hint="eastAsia"/>
          <w:bCs/>
          <w:sz w:val="24"/>
        </w:rPr>
        <w:t>、基金合并</w:t>
      </w:r>
      <w:r>
        <w:rPr>
          <w:bCs/>
          <w:sz w:val="24"/>
        </w:rPr>
        <w:t>；</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rFonts w:hint="eastAsia"/>
          <w:bCs/>
          <w:sz w:val="24"/>
        </w:rPr>
        <w:t>6</w:t>
      </w:r>
      <w:r>
        <w:rPr>
          <w:bCs/>
          <w:sz w:val="24"/>
        </w:rPr>
        <w:t>、基金管理人、基金托管人的法定名称、住所发生变更；</w:t>
      </w:r>
    </w:p>
    <w:p>
      <w:pPr>
        <w:spacing w:line="360" w:lineRule="auto"/>
        <w:ind w:firstLine="480" w:firstLineChars="200"/>
        <w:rPr>
          <w:bCs/>
          <w:sz w:val="24"/>
        </w:rPr>
      </w:pPr>
      <w:r>
        <w:rPr>
          <w:rFonts w:hint="eastAsia"/>
          <w:bCs/>
          <w:sz w:val="24"/>
        </w:rPr>
        <w:t>7</w:t>
      </w:r>
      <w:r>
        <w:rPr>
          <w:bCs/>
          <w:sz w:val="24"/>
        </w:rPr>
        <w:t>、基</w:t>
      </w:r>
      <w:r>
        <w:rPr>
          <w:rFonts w:hint="eastAsia"/>
          <w:bCs/>
          <w:sz w:val="24"/>
        </w:rPr>
        <w:t>金管理公司变更持有百分之五以上股权的股东、变更公司的实际控制人；</w:t>
      </w:r>
    </w:p>
    <w:p>
      <w:pPr>
        <w:spacing w:line="360" w:lineRule="auto"/>
        <w:ind w:firstLine="480" w:firstLineChars="200"/>
        <w:rPr>
          <w:bCs/>
          <w:sz w:val="24"/>
        </w:rPr>
      </w:pPr>
      <w:r>
        <w:rPr>
          <w:rFonts w:hint="eastAsia"/>
          <w:bCs/>
          <w:sz w:val="24"/>
        </w:rPr>
        <w:t>8</w:t>
      </w:r>
      <w:r>
        <w:rPr>
          <w:bCs/>
          <w:sz w:val="24"/>
        </w:rPr>
        <w:t>、基金募集期延长</w:t>
      </w:r>
      <w:r>
        <w:rPr>
          <w:rFonts w:hint="eastAsia"/>
          <w:bCs/>
          <w:sz w:val="24"/>
        </w:rPr>
        <w:t>或提前结束募集</w:t>
      </w:r>
      <w:r>
        <w:rPr>
          <w:bCs/>
          <w:sz w:val="24"/>
        </w:rPr>
        <w:t>；</w:t>
      </w:r>
    </w:p>
    <w:p>
      <w:pPr>
        <w:spacing w:line="360" w:lineRule="auto"/>
        <w:ind w:firstLine="480" w:firstLineChars="200"/>
        <w:rPr>
          <w:bCs/>
          <w:sz w:val="24"/>
        </w:rPr>
      </w:pPr>
      <w:r>
        <w:rPr>
          <w:rFonts w:hint="eastAsia"/>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pPr>
        <w:spacing w:line="360" w:lineRule="auto"/>
        <w:ind w:firstLine="480" w:firstLineChars="200"/>
        <w:rPr>
          <w:bCs/>
          <w:sz w:val="24"/>
        </w:rPr>
      </w:pPr>
      <w:r>
        <w:rPr>
          <w:bCs/>
          <w:sz w:val="24"/>
        </w:rPr>
        <w:t>10、基金管理人的董事在</w:t>
      </w:r>
      <w:r>
        <w:rPr>
          <w:rFonts w:hint="eastAsia"/>
          <w:bCs/>
          <w:sz w:val="24"/>
        </w:rPr>
        <w:t>最近12个月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最近12个月</w:t>
      </w:r>
      <w:r>
        <w:rPr>
          <w:bCs/>
          <w:sz w:val="24"/>
        </w:rPr>
        <w:t>内变动超过百分之三十；</w:t>
      </w:r>
    </w:p>
    <w:p>
      <w:pPr>
        <w:spacing w:line="360" w:lineRule="auto"/>
        <w:ind w:firstLine="480" w:firstLineChars="200"/>
        <w:rPr>
          <w:bCs/>
          <w:sz w:val="24"/>
        </w:rPr>
      </w:pPr>
      <w:r>
        <w:rPr>
          <w:bCs/>
          <w:sz w:val="24"/>
        </w:rPr>
        <w:t>11、涉及基金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w:t>
      </w:r>
      <w:r>
        <w:rPr>
          <w:bCs/>
          <w:sz w:val="24"/>
        </w:rPr>
        <w:t>仲裁；</w:t>
      </w:r>
    </w:p>
    <w:p>
      <w:pPr>
        <w:spacing w:line="360" w:lineRule="auto"/>
        <w:ind w:firstLine="480" w:firstLineChars="20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pPr>
        <w:spacing w:line="360" w:lineRule="auto"/>
        <w:ind w:firstLine="480" w:firstLineChars="200"/>
        <w:rPr>
          <w:bCs/>
          <w:sz w:val="24"/>
        </w:rPr>
      </w:pPr>
      <w:r>
        <w:rPr>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pPr>
        <w:spacing w:line="360" w:lineRule="auto"/>
        <w:ind w:firstLine="480" w:firstLineChars="200"/>
        <w:rPr>
          <w:bCs/>
          <w:sz w:val="24"/>
        </w:rPr>
      </w:pPr>
      <w:r>
        <w:rPr>
          <w:bCs/>
          <w:sz w:val="24"/>
        </w:rPr>
        <w:t>1</w:t>
      </w:r>
      <w:r>
        <w:rPr>
          <w:rFonts w:hint="eastAsia"/>
          <w:bCs/>
          <w:sz w:val="24"/>
        </w:rPr>
        <w:t>4</w:t>
      </w:r>
      <w:r>
        <w:rPr>
          <w:bCs/>
          <w:sz w:val="24"/>
        </w:rPr>
        <w:t>、基金收益分配事项；</w:t>
      </w:r>
    </w:p>
    <w:p>
      <w:pPr>
        <w:spacing w:line="360" w:lineRule="auto"/>
        <w:ind w:firstLine="480" w:firstLineChars="200"/>
        <w:rPr>
          <w:bCs/>
          <w:sz w:val="24"/>
        </w:rPr>
      </w:pPr>
      <w:r>
        <w:rPr>
          <w:bCs/>
          <w:sz w:val="24"/>
        </w:rPr>
        <w:t>1</w:t>
      </w:r>
      <w:r>
        <w:rPr>
          <w:rFonts w:hint="eastAsia"/>
          <w:bCs/>
          <w:sz w:val="24"/>
        </w:rPr>
        <w:t>5</w:t>
      </w:r>
      <w:r>
        <w:rPr>
          <w:bCs/>
          <w:sz w:val="24"/>
        </w:rPr>
        <w:t>、管理费、托管费</w:t>
      </w:r>
      <w:r>
        <w:rPr>
          <w:rFonts w:hint="eastAsia"/>
          <w:bCs/>
          <w:sz w:val="24"/>
        </w:rPr>
        <w:t>、申购费、赎回费</w:t>
      </w:r>
      <w:r>
        <w:rPr>
          <w:bCs/>
          <w:sz w:val="24"/>
        </w:rPr>
        <w:t>等费用计提标准、计提方式和费率发生变更；</w:t>
      </w:r>
    </w:p>
    <w:p>
      <w:pPr>
        <w:spacing w:line="360" w:lineRule="auto"/>
        <w:ind w:firstLine="480" w:firstLineChars="200"/>
        <w:rPr>
          <w:bCs/>
          <w:sz w:val="24"/>
        </w:rPr>
      </w:pPr>
      <w:r>
        <w:rPr>
          <w:bCs/>
          <w:sz w:val="24"/>
        </w:rPr>
        <w:t>1</w:t>
      </w:r>
      <w:r>
        <w:rPr>
          <w:rFonts w:hint="eastAsia"/>
          <w:bCs/>
          <w:sz w:val="24"/>
        </w:rPr>
        <w:t>6</w:t>
      </w:r>
      <w:r>
        <w:rPr>
          <w:bCs/>
          <w:sz w:val="24"/>
        </w:rPr>
        <w:t>、基金份额净值估值错误达基金份额净值百分之零点五；</w:t>
      </w:r>
    </w:p>
    <w:p>
      <w:pPr>
        <w:spacing w:line="360" w:lineRule="auto"/>
        <w:ind w:firstLine="480" w:firstLineChars="200"/>
        <w:rPr>
          <w:bCs/>
          <w:sz w:val="24"/>
        </w:rPr>
      </w:pPr>
      <w:r>
        <w:rPr>
          <w:rFonts w:hint="eastAsia"/>
          <w:bCs/>
          <w:sz w:val="24"/>
        </w:rPr>
        <w:t>17</w:t>
      </w:r>
      <w:r>
        <w:rPr>
          <w:bCs/>
          <w:sz w:val="24"/>
        </w:rPr>
        <w:t>、</w:t>
      </w:r>
      <w:r>
        <w:rPr>
          <w:rFonts w:hint="eastAsia"/>
          <w:bCs/>
          <w:sz w:val="24"/>
        </w:rPr>
        <w:t>本基金进入开放期；</w:t>
      </w:r>
    </w:p>
    <w:p>
      <w:pPr>
        <w:spacing w:line="360" w:lineRule="auto"/>
        <w:ind w:firstLine="480" w:firstLineChars="200"/>
        <w:rPr>
          <w:bCs/>
          <w:sz w:val="24"/>
        </w:rPr>
      </w:pPr>
      <w:r>
        <w:rPr>
          <w:rFonts w:hint="eastAsia"/>
          <w:bCs/>
          <w:sz w:val="24"/>
        </w:rPr>
        <w:t>1</w:t>
      </w:r>
      <w:r>
        <w:rPr>
          <w:bCs/>
          <w:sz w:val="24"/>
        </w:rPr>
        <w:t>8、本基金</w:t>
      </w:r>
      <w:r>
        <w:rPr>
          <w:rFonts w:hint="eastAsia"/>
          <w:bCs/>
          <w:sz w:val="24"/>
        </w:rPr>
        <w:t>在</w:t>
      </w:r>
      <w:r>
        <w:rPr>
          <w:bCs/>
          <w:sz w:val="24"/>
        </w:rPr>
        <w:t>开放期内发生巨额赎回并延</w:t>
      </w:r>
      <w:r>
        <w:rPr>
          <w:rFonts w:hint="eastAsia"/>
          <w:bCs/>
          <w:sz w:val="24"/>
        </w:rPr>
        <w:t>缓支付</w:t>
      </w:r>
      <w:r>
        <w:rPr>
          <w:bCs/>
          <w:sz w:val="24"/>
        </w:rPr>
        <w:t>赎回款项；</w:t>
      </w:r>
    </w:p>
    <w:p>
      <w:pPr>
        <w:spacing w:line="360" w:lineRule="auto"/>
        <w:ind w:firstLine="480" w:firstLineChars="200"/>
        <w:rPr>
          <w:bCs/>
          <w:sz w:val="24"/>
        </w:rPr>
      </w:pPr>
      <w:r>
        <w:rPr>
          <w:bCs/>
          <w:sz w:val="24"/>
        </w:rPr>
        <w:t>19、本基金暂停接受申购、赎回申请或重新接受申购、赎回申请；</w:t>
      </w:r>
    </w:p>
    <w:p>
      <w:pPr>
        <w:spacing w:line="360" w:lineRule="auto"/>
        <w:ind w:firstLine="480" w:firstLineChars="200"/>
        <w:rPr>
          <w:bCs/>
          <w:sz w:val="24"/>
        </w:rPr>
      </w:pPr>
      <w:r>
        <w:rPr>
          <w:rFonts w:hint="eastAsia"/>
          <w:bCs/>
          <w:sz w:val="24"/>
        </w:rPr>
        <w:t>2</w:t>
      </w:r>
      <w:r>
        <w:rPr>
          <w:bCs/>
          <w:sz w:val="24"/>
        </w:rPr>
        <w:t>0</w:t>
      </w:r>
      <w:r>
        <w:rPr>
          <w:rFonts w:hint="eastAsia"/>
          <w:bCs/>
          <w:sz w:val="24"/>
        </w:rPr>
        <w:t>、开放期内，本基金发生涉及基金申购、赎回事项调整或潜在影响投资者赎回等重大事项时；</w:t>
      </w:r>
    </w:p>
    <w:p>
      <w:pPr>
        <w:spacing w:line="360" w:lineRule="auto"/>
        <w:ind w:firstLine="480" w:firstLineChars="200"/>
        <w:rPr>
          <w:bCs/>
          <w:sz w:val="24"/>
        </w:rPr>
      </w:pPr>
      <w:r>
        <w:rPr>
          <w:rFonts w:hint="eastAsia"/>
          <w:bCs/>
          <w:sz w:val="24"/>
        </w:rPr>
        <w:t>2</w:t>
      </w:r>
      <w:r>
        <w:rPr>
          <w:bCs/>
          <w:sz w:val="24"/>
        </w:rPr>
        <w:t>1</w:t>
      </w:r>
      <w:r>
        <w:rPr>
          <w:rFonts w:hint="eastAsia"/>
          <w:bCs/>
          <w:sz w:val="24"/>
        </w:rPr>
        <w:t>、基金管理人采用摆动定价机制进行估值；</w:t>
      </w:r>
    </w:p>
    <w:p>
      <w:pPr>
        <w:spacing w:line="360" w:lineRule="auto"/>
        <w:ind w:firstLine="480" w:firstLineChars="200"/>
        <w:rPr>
          <w:bCs/>
          <w:sz w:val="24"/>
        </w:rPr>
      </w:pPr>
      <w:r>
        <w:rPr>
          <w:rFonts w:hint="eastAsia"/>
          <w:bCs/>
          <w:sz w:val="24"/>
        </w:rPr>
        <w:t>2</w:t>
      </w:r>
      <w:r>
        <w:rPr>
          <w:bCs/>
          <w:sz w:val="24"/>
        </w:rPr>
        <w:t>2</w:t>
      </w:r>
      <w:r>
        <w:rPr>
          <w:rFonts w:hint="eastAsia"/>
          <w:bCs/>
          <w:sz w:val="24"/>
        </w:rPr>
        <w:t>、调整基金份额类别的设置；</w:t>
      </w:r>
    </w:p>
    <w:p>
      <w:pPr>
        <w:spacing w:line="360" w:lineRule="auto"/>
        <w:ind w:firstLine="480" w:firstLineChars="200"/>
        <w:rPr>
          <w:sz w:val="24"/>
        </w:rPr>
      </w:pPr>
      <w:r>
        <w:rPr>
          <w:rFonts w:hint="eastAsia"/>
          <w:bCs/>
          <w:sz w:val="24"/>
        </w:rPr>
        <w:t>2</w:t>
      </w:r>
      <w:r>
        <w:rPr>
          <w:bCs/>
          <w:sz w:val="24"/>
        </w:rPr>
        <w:t>3</w:t>
      </w:r>
      <w:r>
        <w:rPr>
          <w:rFonts w:hint="eastAsia"/>
          <w:bCs/>
          <w:sz w:val="24"/>
        </w:rPr>
        <w:t>、</w:t>
      </w:r>
      <w:r>
        <w:rPr>
          <w:rFonts w:hint="eastAsia"/>
          <w:sz w:val="24"/>
        </w:rPr>
        <w:t>基金推出新业务或服务；</w:t>
      </w:r>
    </w:p>
    <w:p>
      <w:pPr>
        <w:spacing w:line="360" w:lineRule="auto"/>
        <w:ind w:firstLine="480" w:firstLineChars="200"/>
        <w:rPr>
          <w:bCs/>
          <w:sz w:val="24"/>
        </w:rPr>
      </w:pPr>
      <w:r>
        <w:rPr>
          <w:rFonts w:hint="eastAsia"/>
          <w:bCs/>
          <w:sz w:val="24"/>
        </w:rPr>
        <w:t>2</w:t>
      </w:r>
      <w:r>
        <w:rPr>
          <w:bCs/>
          <w:sz w:val="24"/>
        </w:rPr>
        <w:t>4、</w:t>
      </w:r>
      <w:r>
        <w:rPr>
          <w:rFonts w:hint="eastAsia"/>
          <w:bCs/>
          <w:sz w:val="24"/>
        </w:rPr>
        <w:t>基金信息披露义务人认为可能对基金份额持有人权益或者基金份额的价格产生重大影响的其他事项或</w:t>
      </w:r>
      <w:r>
        <w:rPr>
          <w:bCs/>
          <w:sz w:val="24"/>
        </w:rPr>
        <w:t>中国证监会规定的其他事项。</w:t>
      </w:r>
    </w:p>
    <w:p>
      <w:pPr>
        <w:spacing w:line="360" w:lineRule="auto"/>
        <w:ind w:firstLine="480" w:firstLineChars="200"/>
        <w:rPr>
          <w:bCs/>
          <w:sz w:val="24"/>
        </w:rPr>
      </w:pPr>
      <w:r>
        <w:rPr>
          <w:bCs/>
          <w:sz w:val="24"/>
        </w:rPr>
        <w:t>（</w:t>
      </w:r>
      <w:r>
        <w:rPr>
          <w:rFonts w:hint="eastAsia"/>
          <w:bCs/>
          <w:sz w:val="24"/>
        </w:rPr>
        <w:t>八</w:t>
      </w:r>
      <w:r>
        <w:rPr>
          <w:bCs/>
          <w:sz w:val="24"/>
        </w:rPr>
        <w:t>）澄清公告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pPr>
        <w:spacing w:line="360" w:lineRule="auto"/>
        <w:ind w:firstLine="480" w:firstLineChars="200"/>
        <w:rPr>
          <w:bCs/>
          <w:sz w:val="24"/>
        </w:rPr>
      </w:pPr>
      <w:r>
        <w:rPr>
          <w:rFonts w:hint="eastAsia"/>
          <w:bCs/>
          <w:sz w:val="24"/>
        </w:rPr>
        <w:t>（九）清算公告</w:t>
      </w:r>
    </w:p>
    <w:p>
      <w:pPr>
        <w:spacing w:line="360" w:lineRule="auto"/>
        <w:ind w:firstLine="480" w:firstLineChars="200"/>
        <w:rPr>
          <w:bCs/>
          <w:sz w:val="24"/>
        </w:rPr>
      </w:pPr>
      <w:r>
        <w:rPr>
          <w:rFonts w:hint="eastAsia"/>
          <w:bCs/>
          <w:sz w:val="24"/>
        </w:rPr>
        <w:t>基金合同终止的，基金管理人应当依法组织清算小组对基金财产进行清算并作出清算报告。基金财产清算小组应当将清算报告登载在规定网站上，并将清算报告提示性公告登载在规定报刊上。</w:t>
      </w:r>
    </w:p>
    <w:p>
      <w:pPr>
        <w:spacing w:line="360" w:lineRule="auto"/>
        <w:ind w:firstLine="480" w:firstLineChars="200"/>
        <w:rPr>
          <w:bCs/>
          <w:sz w:val="24"/>
        </w:rPr>
      </w:pPr>
      <w:r>
        <w:rPr>
          <w:bCs/>
          <w:sz w:val="24"/>
        </w:rPr>
        <w:t>（</w:t>
      </w:r>
      <w:r>
        <w:rPr>
          <w:rFonts w:hint="eastAsia"/>
          <w:bCs/>
          <w:sz w:val="24"/>
        </w:rPr>
        <w:t>十</w:t>
      </w:r>
      <w:r>
        <w:rPr>
          <w:bCs/>
          <w:sz w:val="24"/>
        </w:rPr>
        <w:t>）基金份额持有人大会决议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（十一）发起资金的情况</w:t>
      </w:r>
    </w:p>
    <w:p>
      <w:pPr>
        <w:spacing w:line="360" w:lineRule="auto"/>
        <w:ind w:firstLine="480" w:firstLineChars="200"/>
        <w:rPr>
          <w:bCs/>
          <w:sz w:val="24"/>
        </w:rPr>
      </w:pPr>
      <w:r>
        <w:rPr>
          <w:rFonts w:hint="eastAsia"/>
          <w:bCs/>
          <w:sz w:val="24"/>
        </w:rPr>
        <w:t>基金管理人应在基金合同生效公告、基金年度报告、基金中期报告和基金季度报告中分别披露基金管理公司、基金管理公司高级管理人员、基金经理等人员以及基金管理公司股东持有基金的份额、期限及期间的变动情况。</w:t>
      </w:r>
    </w:p>
    <w:p>
      <w:pPr>
        <w:spacing w:line="360" w:lineRule="auto"/>
        <w:ind w:firstLine="480" w:firstLineChars="200"/>
        <w:rPr>
          <w:bCs/>
          <w:sz w:val="24"/>
        </w:rPr>
      </w:pPr>
      <w:r>
        <w:rPr>
          <w:rFonts w:hint="eastAsia"/>
          <w:bCs/>
          <w:sz w:val="24"/>
        </w:rPr>
        <w:t>（十二）投资资产支持证券信息披露</w:t>
      </w:r>
    </w:p>
    <w:p>
      <w:pPr>
        <w:spacing w:line="360" w:lineRule="auto"/>
        <w:ind w:firstLine="480" w:firstLineChars="200"/>
        <w:rPr>
          <w:bCs/>
          <w:sz w:val="24"/>
        </w:rPr>
      </w:pPr>
      <w:r>
        <w:rPr>
          <w:rFonts w:hint="eastAsia"/>
          <w:bCs/>
          <w:sz w:val="24"/>
        </w:rPr>
        <w:t>基金管理人应在基金年度报告及中期</w:t>
      </w:r>
      <w:r>
        <w:rPr>
          <w:bCs/>
          <w:sz w:val="24"/>
        </w:rPr>
        <w:t>报告</w:t>
      </w:r>
      <w:r>
        <w:rPr>
          <w:rFonts w:hint="eastAsia"/>
          <w:bCs/>
          <w:sz w:val="24"/>
        </w:rPr>
        <w:t>中披露其持有的资产支持证券总额、资产支持证券市值占基金净资产的比例和报告期内所有的资产支持证券明细。</w:t>
      </w:r>
    </w:p>
    <w:p>
      <w:pPr>
        <w:spacing w:line="360" w:lineRule="auto"/>
        <w:ind w:firstLine="480" w:firstLineChars="20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bCs/>
          <w:sz w:val="24"/>
        </w:rPr>
        <w:t>（十</w:t>
      </w:r>
      <w:r>
        <w:rPr>
          <w:rFonts w:hint="eastAsia"/>
          <w:bCs/>
          <w:sz w:val="24"/>
        </w:rPr>
        <w:t>三</w:t>
      </w:r>
      <w:r>
        <w:rPr>
          <w:bCs/>
          <w:sz w:val="24"/>
        </w:rPr>
        <w:t>）投资国债期货</w:t>
      </w:r>
      <w:r>
        <w:rPr>
          <w:rFonts w:hint="eastAsia"/>
          <w:bCs/>
          <w:sz w:val="24"/>
        </w:rPr>
        <w:t>信息披露</w:t>
      </w:r>
    </w:p>
    <w:p>
      <w:pPr>
        <w:spacing w:line="360" w:lineRule="auto"/>
        <w:ind w:firstLine="480" w:firstLineChars="200"/>
        <w:rPr>
          <w:bCs/>
          <w:sz w:val="24"/>
        </w:rPr>
      </w:pPr>
      <w:r>
        <w:rPr>
          <w:bCs/>
          <w:sz w:val="24"/>
        </w:rPr>
        <w:t>基金管理人应在季度报告、</w:t>
      </w:r>
      <w:r>
        <w:rPr>
          <w:rFonts w:hint="eastAsia"/>
          <w:bCs/>
          <w:sz w:val="24"/>
        </w:rPr>
        <w:t>中期</w:t>
      </w:r>
      <w:r>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pPr>
        <w:spacing w:line="360" w:lineRule="auto"/>
        <w:ind w:firstLine="480" w:firstLineChars="200"/>
        <w:rPr>
          <w:bCs/>
          <w:sz w:val="24"/>
        </w:rPr>
      </w:pPr>
      <w:r>
        <w:rPr>
          <w:rFonts w:hint="eastAsia"/>
          <w:bCs/>
          <w:sz w:val="24"/>
        </w:rPr>
        <w:t>（十四）实施侧袋机制期间的信息披露</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rFonts w:hint="eastAsia"/>
          <w:bCs/>
          <w:sz w:val="24"/>
        </w:rPr>
        <w:t>（十五）</w:t>
      </w:r>
      <w:r>
        <w:rPr>
          <w:bCs/>
          <w:sz w:val="24"/>
        </w:rPr>
        <w:t>中国证监会规定的其他信息</w:t>
      </w:r>
    </w:p>
    <w:p>
      <w:pPr>
        <w:spacing w:line="360" w:lineRule="auto"/>
        <w:ind w:firstLine="480" w:firstLineChars="200"/>
        <w:rPr>
          <w:bCs/>
          <w:sz w:val="24"/>
        </w:rPr>
      </w:pPr>
      <w:r>
        <w:rPr>
          <w:rFonts w:hint="eastAsia"/>
          <w:bCs/>
          <w:sz w:val="24"/>
        </w:rPr>
        <w:t>基金管理人应当在季度报告、中期报告、年度报告等定期报告和招募说明书（更新）中充分披露基金的相关情况并揭示相关风险，说明该基金单一投资者持有的基金份额或者构成一致行动人的多个投资者持有的基金份额可达到或者超过50%，本基金不向个人投资者销售。</w:t>
      </w:r>
    </w:p>
    <w:p>
      <w:pPr>
        <w:spacing w:line="360" w:lineRule="auto"/>
        <w:ind w:firstLine="480" w:firstLineChars="200"/>
        <w:rPr>
          <w:bCs/>
          <w:sz w:val="24"/>
        </w:rPr>
      </w:pP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等相关基金信息进行复核、审查，并向基金管理人进行书面</w:t>
      </w:r>
      <w:r>
        <w:rPr>
          <w:rFonts w:hint="eastAsia"/>
          <w:bCs/>
          <w:sz w:val="24"/>
        </w:rPr>
        <w:t>或电子</w:t>
      </w:r>
      <w:r>
        <w:rPr>
          <w:bCs/>
          <w:sz w:val="24"/>
        </w:rPr>
        <w:t>确认。</w:t>
      </w:r>
    </w:p>
    <w:p>
      <w:pPr>
        <w:spacing w:line="360" w:lineRule="auto"/>
        <w:ind w:firstLine="480" w:firstLineChars="20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依法必须披露的信息发布后，基金管理人、基金托管人应当按照相关法律法规规定将信息置备于各自住所，供社会公众查阅、复制。</w:t>
      </w:r>
    </w:p>
    <w:p>
      <w:pPr>
        <w:spacing w:line="360" w:lineRule="auto"/>
        <w:ind w:firstLine="480" w:firstLineChars="200"/>
        <w:rPr>
          <w:bCs/>
          <w:sz w:val="24"/>
        </w:rPr>
      </w:pPr>
      <w:r>
        <w:rPr>
          <w:rFonts w:hint="eastAsia"/>
          <w:bCs/>
          <w:sz w:val="24"/>
        </w:rPr>
        <w:t>八、暂停或延迟信息披露的情形</w:t>
      </w:r>
    </w:p>
    <w:p>
      <w:pPr>
        <w:spacing w:line="360" w:lineRule="auto"/>
        <w:ind w:firstLine="480" w:firstLineChars="200"/>
        <w:rPr>
          <w:bCs/>
          <w:sz w:val="24"/>
        </w:rPr>
      </w:pPr>
      <w:r>
        <w:rPr>
          <w:rFonts w:hint="eastAsia"/>
          <w:bCs/>
          <w:sz w:val="24"/>
        </w:rPr>
        <w:t>当出现下述情况时，基金管理人和基金托管人可暂停或延迟披露基金相关信息：</w:t>
      </w:r>
    </w:p>
    <w:p>
      <w:pPr>
        <w:spacing w:line="360" w:lineRule="auto"/>
        <w:ind w:firstLine="480" w:firstLineChars="200"/>
        <w:rPr>
          <w:bCs/>
          <w:sz w:val="24"/>
        </w:rPr>
      </w:pPr>
      <w:r>
        <w:rPr>
          <w:rFonts w:hint="eastAsia"/>
          <w:bCs/>
          <w:sz w:val="24"/>
        </w:rPr>
        <w:t>（</w:t>
      </w:r>
      <w:r>
        <w:rPr>
          <w:bCs/>
          <w:sz w:val="24"/>
        </w:rPr>
        <w:t>1</w:t>
      </w:r>
      <w:r>
        <w:rPr>
          <w:rFonts w:hint="eastAsia"/>
          <w:bCs/>
          <w:sz w:val="24"/>
        </w:rPr>
        <w:t>）不可抗力；</w:t>
      </w:r>
    </w:p>
    <w:p>
      <w:pPr>
        <w:spacing w:line="360" w:lineRule="auto"/>
        <w:ind w:firstLine="480" w:firstLineChars="200"/>
        <w:rPr>
          <w:bCs/>
          <w:sz w:val="24"/>
        </w:rPr>
      </w:pPr>
      <w:r>
        <w:rPr>
          <w:rFonts w:hint="eastAsia"/>
          <w:bCs/>
          <w:sz w:val="24"/>
        </w:rPr>
        <w:t>（</w:t>
      </w:r>
      <w:r>
        <w:rPr>
          <w:bCs/>
          <w:sz w:val="24"/>
        </w:rPr>
        <w:t>2</w:t>
      </w:r>
      <w:r>
        <w:rPr>
          <w:rFonts w:hint="eastAsia"/>
          <w:bCs/>
          <w:sz w:val="24"/>
        </w:rPr>
        <w:t>）基金投资所涉及的证券、期货交易市场遇法定节假日或因其他原因暂停营业时；</w:t>
      </w:r>
    </w:p>
    <w:p>
      <w:pPr>
        <w:spacing w:line="360" w:lineRule="auto"/>
        <w:ind w:firstLine="480" w:firstLineChars="200"/>
        <w:rPr>
          <w:bCs/>
          <w:sz w:val="24"/>
        </w:rPr>
      </w:pPr>
      <w:r>
        <w:rPr>
          <w:rFonts w:hint="eastAsia"/>
          <w:bCs/>
          <w:sz w:val="24"/>
        </w:rPr>
        <w:t>（3）法律法规、《基金合同》或中国证监会规定的情况。</w:t>
      </w:r>
    </w:p>
    <w:p>
      <w:pPr>
        <w:pStyle w:val="2"/>
        <w:spacing w:before="0" w:after="0"/>
        <w:jc w:val="center"/>
        <w:rPr>
          <w:rFonts w:ascii="Times New Roman"/>
          <w:color w:val="auto"/>
          <w:sz w:val="30"/>
        </w:rPr>
      </w:pPr>
      <w:r>
        <w:rPr>
          <w:rFonts w:ascii="Times New Roman"/>
          <w:b w:val="0"/>
          <w:bCs/>
          <w:color w:val="auto"/>
          <w:kern w:val="44"/>
          <w:sz w:val="21"/>
        </w:rPr>
        <w:br w:type="page"/>
      </w:r>
      <w:bookmarkStart w:id="390" w:name="_Toc27464"/>
      <w:bookmarkStart w:id="391" w:name="_Toc10006"/>
      <w:bookmarkStart w:id="392" w:name="_Toc123112247"/>
      <w:bookmarkStart w:id="393" w:name="_Toc123102466"/>
      <w:bookmarkStart w:id="394" w:name="_Toc141703899"/>
      <w:bookmarkStart w:id="395" w:name="_Toc11113"/>
      <w:bookmarkStart w:id="396" w:name="_Toc123051465"/>
      <w:bookmarkStart w:id="397" w:name="_Toc25647"/>
      <w:bookmarkStart w:id="398" w:name="_Toc22978"/>
      <w:bookmarkStart w:id="399" w:name="_Toc6237"/>
      <w:bookmarkStart w:id="400" w:name="_Toc29891"/>
      <w:bookmarkStart w:id="401" w:name="_Toc8049"/>
      <w:bookmarkStart w:id="402" w:name="_Toc8059"/>
      <w:bookmarkStart w:id="403" w:name="_Toc519229415"/>
      <w:bookmarkStart w:id="404" w:name="_Toc7170"/>
      <w:bookmarkStart w:id="405" w:name="_Toc9005"/>
      <w:bookmarkStart w:id="406" w:name="_Toc98560364"/>
      <w:bookmarkStart w:id="407" w:name="_Toc139991749"/>
      <w:r>
        <w:rPr>
          <w:rFonts w:ascii="Times New Roman"/>
          <w:color w:val="auto"/>
          <w:sz w:val="30"/>
        </w:rPr>
        <w:t>第</w:t>
      </w:r>
      <w:r>
        <w:rPr>
          <w:rFonts w:hint="eastAsia" w:ascii="Times New Roman"/>
          <w:color w:val="auto"/>
          <w:sz w:val="30"/>
        </w:rPr>
        <w:t>十九</w:t>
      </w:r>
      <w:r>
        <w:rPr>
          <w:rFonts w:ascii="Times New Roman"/>
          <w:color w:val="auto"/>
          <w:sz w:val="30"/>
        </w:rPr>
        <w:t xml:space="preserve">部分  </w:t>
      </w:r>
      <w:bookmarkStart w:id="408" w:name="_Hlt88828593"/>
      <w:r>
        <w:rPr>
          <w:rFonts w:ascii="Times New Roman"/>
          <w:color w:val="auto"/>
          <w:sz w:val="30"/>
        </w:rPr>
        <w:t>基金合同</w:t>
      </w:r>
      <w:bookmarkEnd w:id="408"/>
      <w:r>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360" w:lineRule="auto"/>
        <w:ind w:firstLine="480" w:firstLineChars="200"/>
        <w:rPr>
          <w:bCs/>
          <w:sz w:val="24"/>
        </w:rPr>
      </w:pPr>
    </w:p>
    <w:p>
      <w:pPr>
        <w:tabs>
          <w:tab w:val="left" w:pos="3912"/>
        </w:tabs>
        <w:spacing w:line="360" w:lineRule="auto"/>
        <w:ind w:firstLine="480" w:firstLineChars="200"/>
        <w:rPr>
          <w:bCs/>
          <w:sz w:val="24"/>
        </w:rPr>
      </w:pPr>
      <w:bookmarkStart w:id="409" w:name="_Toc79392639"/>
      <w:r>
        <w:rPr>
          <w:bCs/>
          <w:sz w:val="24"/>
        </w:rPr>
        <w:t>一、《基金合同》的变更</w:t>
      </w:r>
      <w:bookmarkEnd w:id="409"/>
      <w:r>
        <w:rPr>
          <w:bCs/>
          <w:sz w:val="24"/>
        </w:rPr>
        <w:tab/>
      </w:r>
    </w:p>
    <w:p>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w:t>
      </w:r>
      <w:r>
        <w:rPr>
          <w:rFonts w:hint="eastAsia"/>
          <w:bCs/>
          <w:sz w:val="24"/>
        </w:rPr>
        <w:t>关于基金合同变更的基金份额持有人大会决议自生效后方可执行，自决议生效后两日内在规定媒介公告。</w:t>
      </w:r>
    </w:p>
    <w:p>
      <w:pPr>
        <w:spacing w:line="360" w:lineRule="auto"/>
        <w:ind w:firstLine="480" w:firstLineChars="200"/>
        <w:rPr>
          <w:bCs/>
          <w:sz w:val="24"/>
        </w:rPr>
      </w:pP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3、《基金合同》生效满三年之日，基金资产净值低于2亿元的；</w:t>
      </w:r>
    </w:p>
    <w:p>
      <w:pPr>
        <w:spacing w:line="360" w:lineRule="auto"/>
        <w:ind w:firstLine="480" w:firstLineChars="200"/>
        <w:rPr>
          <w:bCs/>
          <w:sz w:val="24"/>
        </w:rPr>
      </w:pPr>
      <w:r>
        <w:rPr>
          <w:rFonts w:hint="eastAsia"/>
          <w:bCs/>
          <w:sz w:val="24"/>
        </w:rPr>
        <w:t>4</w:t>
      </w:r>
      <w:r>
        <w:rPr>
          <w:bCs/>
          <w:sz w:val="24"/>
        </w:rPr>
        <w:t>、《基金合同》约定的其他情形；</w:t>
      </w:r>
    </w:p>
    <w:p>
      <w:pPr>
        <w:spacing w:line="360" w:lineRule="auto"/>
        <w:ind w:firstLine="480" w:firstLineChars="200"/>
        <w:rPr>
          <w:bCs/>
          <w:sz w:val="24"/>
        </w:rPr>
      </w:pPr>
      <w:r>
        <w:rPr>
          <w:rFonts w:hint="eastAsia"/>
          <w:bCs/>
          <w:sz w:val="24"/>
        </w:rPr>
        <w:t>5</w:t>
      </w:r>
      <w:r>
        <w:rPr>
          <w:bCs/>
          <w:sz w:val="24"/>
        </w:rPr>
        <w:t>、相关法律法规和中国证监会规定的其他情况。</w:t>
      </w:r>
    </w:p>
    <w:p>
      <w:pPr>
        <w:spacing w:line="360" w:lineRule="auto"/>
        <w:ind w:firstLine="480" w:firstLineChars="200"/>
        <w:rPr>
          <w:bCs/>
          <w:sz w:val="24"/>
        </w:rPr>
      </w:pP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5、基金财产清算的期限为不超过</w:t>
      </w:r>
      <w:r>
        <w:rPr>
          <w:rFonts w:hint="eastAsia"/>
          <w:bCs/>
          <w:sz w:val="24"/>
        </w:rPr>
        <w:t>6</w:t>
      </w:r>
      <w:r>
        <w:rPr>
          <w:bCs/>
          <w:sz w:val="24"/>
        </w:rPr>
        <w:t>个月</w:t>
      </w:r>
      <w:r>
        <w:rPr>
          <w:rFonts w:hint="eastAsia"/>
          <w:bCs/>
          <w:sz w:val="24"/>
        </w:rPr>
        <w:t>，但因本基金所持证券的流动性受到限制而不能及时变现的，清算期限相应顺延。</w:t>
      </w:r>
    </w:p>
    <w:p>
      <w:pPr>
        <w:spacing w:line="360" w:lineRule="auto"/>
        <w:ind w:firstLine="480" w:firstLineChars="200"/>
        <w:rPr>
          <w:bCs/>
          <w:sz w:val="24"/>
        </w:rPr>
      </w:pP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pStyle w:val="2"/>
        <w:spacing w:before="0" w:after="0"/>
        <w:jc w:val="center"/>
        <w:rPr>
          <w:rFonts w:ascii="Times New Roman"/>
          <w:color w:val="auto"/>
          <w:sz w:val="30"/>
        </w:rPr>
      </w:pPr>
      <w:bookmarkStart w:id="410" w:name="_Toc123102467"/>
      <w:bookmarkStart w:id="411" w:name="_Toc123112248"/>
      <w:bookmarkStart w:id="412" w:name="_Toc98560365"/>
      <w:bookmarkStart w:id="413" w:name="_Toc48649720"/>
      <w:bookmarkStart w:id="414" w:name="_Toc79392641"/>
      <w:bookmarkStart w:id="415" w:name="_Toc123051466"/>
      <w:r>
        <w:rPr>
          <w:rFonts w:ascii="Times New Roman"/>
          <w:b w:val="0"/>
          <w:bCs/>
          <w:color w:val="auto"/>
        </w:rPr>
        <w:br w:type="page"/>
      </w:r>
      <w:bookmarkStart w:id="416" w:name="_Toc13398"/>
      <w:bookmarkStart w:id="417" w:name="_Toc21240"/>
      <w:bookmarkStart w:id="418" w:name="_Toc12191"/>
      <w:bookmarkStart w:id="419" w:name="_Toc7367"/>
      <w:bookmarkStart w:id="420" w:name="_Toc27058"/>
      <w:bookmarkStart w:id="421" w:name="_Toc139991750"/>
      <w:bookmarkStart w:id="422" w:name="_Toc23166"/>
      <w:bookmarkStart w:id="423" w:name="_Toc30645"/>
      <w:bookmarkStart w:id="424" w:name="_Toc519229416"/>
      <w:bookmarkStart w:id="425" w:name="_Toc23022"/>
      <w:bookmarkStart w:id="426" w:name="_Toc28549"/>
      <w:bookmarkStart w:id="427" w:name="_Toc141703901"/>
      <w:bookmarkStart w:id="428" w:name="_Toc9708"/>
      <w:bookmarkStart w:id="429" w:name="_Toc8710"/>
      <w:r>
        <w:rPr>
          <w:rFonts w:ascii="Times New Roman"/>
          <w:color w:val="auto"/>
          <w:sz w:val="30"/>
        </w:rPr>
        <w:t>第二十部分  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w:t>
      </w:r>
      <w:r>
        <w:rPr>
          <w:rFonts w:hint="eastAsia"/>
          <w:bCs/>
          <w:sz w:val="24"/>
        </w:rPr>
        <w:t>；因共同行为给基金财产或者基金份额持有人造成损害的，应当承担连带赔偿责任。</w:t>
      </w:r>
      <w:r>
        <w:rPr>
          <w:bCs/>
          <w:sz w:val="24"/>
        </w:rPr>
        <w:t>对损失的赔偿，仅限于直接损失。</w:t>
      </w:r>
      <w:r>
        <w:rPr>
          <w:rFonts w:hint="eastAsia"/>
          <w:bCs/>
          <w:sz w:val="24"/>
        </w:rPr>
        <w:t>但是发生下列情况，当事人免责：</w:t>
      </w:r>
    </w:p>
    <w:p>
      <w:pPr>
        <w:spacing w:line="360" w:lineRule="auto"/>
        <w:ind w:firstLine="480" w:firstLineChars="200"/>
        <w:rPr>
          <w:bCs/>
          <w:sz w:val="24"/>
        </w:rPr>
      </w:pPr>
      <w:r>
        <w:rPr>
          <w:rFonts w:hint="eastAsia"/>
          <w:bCs/>
          <w:sz w:val="24"/>
        </w:rPr>
        <w:t>1、基金管理人及/或基金托管人按照当时有效的法律法规或中国证监会的规定作为或不作为而造成的损失；</w:t>
      </w:r>
    </w:p>
    <w:p>
      <w:pPr>
        <w:spacing w:line="360" w:lineRule="auto"/>
        <w:ind w:firstLine="480" w:firstLineChars="200"/>
        <w:rPr>
          <w:bCs/>
          <w:sz w:val="24"/>
        </w:rPr>
      </w:pPr>
      <w:r>
        <w:rPr>
          <w:rFonts w:hint="eastAsia"/>
          <w:bCs/>
          <w:sz w:val="24"/>
        </w:rPr>
        <w:t>2、基金管理人由于按照《基金合同》规定的投资原则而行使或不行使其投资权而造成的损失；</w:t>
      </w:r>
    </w:p>
    <w:p>
      <w:pPr>
        <w:spacing w:line="360" w:lineRule="auto"/>
        <w:ind w:firstLine="480" w:firstLineChars="200"/>
        <w:rPr>
          <w:bCs/>
          <w:sz w:val="24"/>
        </w:rPr>
      </w:pPr>
      <w:r>
        <w:rPr>
          <w:rFonts w:hint="eastAsia"/>
          <w:bCs/>
          <w:sz w:val="24"/>
        </w:rPr>
        <w:t>3、不可抗力情形。</w:t>
      </w:r>
    </w:p>
    <w:p>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pStyle w:val="2"/>
        <w:spacing w:before="0" w:after="0"/>
        <w:jc w:val="center"/>
        <w:rPr>
          <w:rFonts w:ascii="Times New Roman"/>
          <w:color w:val="auto"/>
          <w:sz w:val="30"/>
        </w:rPr>
      </w:pPr>
      <w:bookmarkStart w:id="430" w:name="_Toc6110"/>
      <w:r>
        <w:rPr>
          <w:rFonts w:ascii="Times New Roman"/>
          <w:b w:val="0"/>
          <w:bCs/>
          <w:color w:val="auto"/>
        </w:rPr>
        <w:br w:type="page"/>
      </w:r>
      <w:bookmarkStart w:id="431" w:name="_Toc141703902"/>
      <w:bookmarkStart w:id="432" w:name="_Toc98560366"/>
      <w:bookmarkStart w:id="433" w:name="_Toc123102468"/>
      <w:bookmarkStart w:id="434" w:name="_Toc123051467"/>
      <w:bookmarkStart w:id="435" w:name="_Toc123112249"/>
      <w:bookmarkStart w:id="436" w:name="_Toc6202"/>
      <w:bookmarkStart w:id="437" w:name="_Toc30350"/>
      <w:bookmarkStart w:id="438" w:name="_Toc24923"/>
      <w:bookmarkStart w:id="439" w:name="_Toc8636"/>
      <w:bookmarkStart w:id="440" w:name="_Toc139991751"/>
      <w:bookmarkStart w:id="441" w:name="_Toc21983"/>
      <w:bookmarkStart w:id="442" w:name="_Toc1790"/>
      <w:bookmarkStart w:id="443" w:name="_Toc7288"/>
      <w:bookmarkStart w:id="444" w:name="_Toc3319"/>
      <w:bookmarkStart w:id="445" w:name="_Toc25651"/>
      <w:bookmarkStart w:id="446" w:name="_Toc519229417"/>
      <w:bookmarkStart w:id="447" w:name="_Toc23999"/>
      <w:r>
        <w:rPr>
          <w:rFonts w:ascii="Times New Roman"/>
          <w:color w:val="auto"/>
          <w:sz w:val="30"/>
        </w:rPr>
        <w:t>第二十</w:t>
      </w:r>
      <w:r>
        <w:rPr>
          <w:rFonts w:hint="eastAsia" w:ascii="Times New Roman"/>
          <w:color w:val="auto"/>
          <w:sz w:val="30"/>
        </w:rPr>
        <w:t>一</w:t>
      </w:r>
      <w:r>
        <w:rPr>
          <w:rFonts w:ascii="Times New Roman"/>
          <w:color w:val="auto"/>
          <w:sz w:val="30"/>
        </w:rPr>
        <w:t>部分  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480" w:firstLineChars="200"/>
        <w:rPr>
          <w:bCs/>
          <w:sz w:val="24"/>
        </w:rPr>
      </w:pPr>
    </w:p>
    <w:p>
      <w:pPr>
        <w:spacing w:line="360" w:lineRule="auto"/>
        <w:ind w:firstLine="480" w:firstLineChars="200"/>
        <w:rPr>
          <w:bCs/>
          <w:sz w:val="24"/>
        </w:rPr>
      </w:pPr>
      <w:r>
        <w:rPr>
          <w:rFonts w:hint="eastAsia"/>
          <w:bCs/>
          <w:sz w:val="24"/>
        </w:rPr>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w:t>
      </w:r>
      <w:r>
        <w:rPr>
          <w:rFonts w:hint="eastAsia" w:ascii="宋体"/>
          <w:sz w:val="24"/>
        </w:rPr>
        <w:t>除非仲裁裁决另有决定，</w:t>
      </w:r>
      <w:r>
        <w:rPr>
          <w:rFonts w:hint="eastAsia"/>
          <w:bCs/>
          <w:sz w:val="24"/>
        </w:rPr>
        <w:t>仲裁费</w:t>
      </w:r>
      <w:r>
        <w:rPr>
          <w:bCs/>
          <w:sz w:val="24"/>
        </w:rPr>
        <w:t>和律师费</w:t>
      </w:r>
      <w:r>
        <w:rPr>
          <w:rFonts w:hint="eastAsia"/>
          <w:bCs/>
          <w:sz w:val="24"/>
        </w:rPr>
        <w:t>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w:t>
      </w:r>
      <w:r>
        <w:rPr>
          <w:bCs/>
          <w:sz w:val="24"/>
        </w:rPr>
        <w:t>约</w:t>
      </w:r>
      <w:r>
        <w:rPr>
          <w:rFonts w:hint="eastAsia"/>
          <w:bCs/>
          <w:sz w:val="24"/>
        </w:rPr>
        <w:t>定的义务，维护基金份额持有人的合法权益。</w:t>
      </w:r>
    </w:p>
    <w:p>
      <w:pPr>
        <w:spacing w:line="360" w:lineRule="auto"/>
        <w:ind w:firstLine="480" w:firstLineChars="200"/>
        <w:rPr>
          <w:bCs/>
          <w:sz w:val="24"/>
        </w:rPr>
      </w:pPr>
      <w:r>
        <w:rPr>
          <w:rFonts w:hint="eastAsia"/>
          <w:bCs/>
          <w:sz w:val="24"/>
        </w:rPr>
        <w:t>《基金合同》受中国（为本基金合同之目的，不包括香港特别行政区、澳门特别行政区和台湾地区）法律管辖。</w:t>
      </w:r>
    </w:p>
    <w:p>
      <w:pPr>
        <w:spacing w:line="360" w:lineRule="auto"/>
        <w:ind w:firstLine="480" w:firstLineChars="200"/>
        <w:rPr>
          <w:bCs/>
          <w:sz w:val="24"/>
        </w:rPr>
      </w:pPr>
    </w:p>
    <w:p>
      <w:pPr>
        <w:pStyle w:val="2"/>
        <w:spacing w:before="0" w:after="0"/>
        <w:jc w:val="center"/>
        <w:rPr>
          <w:rFonts w:ascii="Times New Roman"/>
          <w:color w:val="auto"/>
          <w:sz w:val="30"/>
        </w:rPr>
      </w:pPr>
      <w:bookmarkStart w:id="448" w:name="_Toc20350"/>
      <w:bookmarkStart w:id="449" w:name="_Toc8454"/>
      <w:bookmarkStart w:id="450" w:name="_Toc26461"/>
      <w:bookmarkStart w:id="451" w:name="_Toc11618"/>
      <w:bookmarkStart w:id="452" w:name="_Toc2532"/>
      <w:bookmarkStart w:id="453" w:name="_Toc139991752"/>
      <w:bookmarkStart w:id="454" w:name="_Toc484"/>
      <w:bookmarkStart w:id="455" w:name="_Toc141703903"/>
      <w:bookmarkStart w:id="456" w:name="_Toc123102469"/>
      <w:bookmarkStart w:id="457" w:name="_Toc29505"/>
      <w:bookmarkStart w:id="458" w:name="_Toc123051468"/>
      <w:bookmarkStart w:id="459" w:name="_Toc23991"/>
      <w:bookmarkStart w:id="460" w:name="_Toc28690"/>
      <w:bookmarkStart w:id="461" w:name="_Toc8703"/>
      <w:bookmarkStart w:id="462" w:name="_Toc31966"/>
      <w:bookmarkStart w:id="463" w:name="_Toc123112250"/>
      <w:r>
        <w:rPr>
          <w:rFonts w:ascii="Times New Roman"/>
          <w:color w:val="auto"/>
          <w:sz w:val="30"/>
        </w:rPr>
        <w:br w:type="page"/>
      </w:r>
      <w:bookmarkStart w:id="464" w:name="_Toc519229418"/>
      <w:r>
        <w:rPr>
          <w:rFonts w:ascii="Times New Roman"/>
          <w:color w:val="auto"/>
          <w:sz w:val="30"/>
        </w:rPr>
        <w:t>第二十</w:t>
      </w:r>
      <w:r>
        <w:rPr>
          <w:rFonts w:hint="eastAsia" w:ascii="Times New Roman"/>
          <w:color w:val="auto"/>
          <w:sz w:val="30"/>
        </w:rPr>
        <w:t>二</w:t>
      </w:r>
      <w:r>
        <w:rPr>
          <w:rFonts w:ascii="Times New Roman"/>
          <w:color w:val="auto"/>
          <w:sz w:val="30"/>
        </w:rPr>
        <w:t>部分  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65" w:name="_Toc21726"/>
      <w:bookmarkStart w:id="466" w:name="_Toc519229419"/>
      <w:bookmarkStart w:id="467" w:name="_Toc9704"/>
      <w:r>
        <w:rPr>
          <w:rFonts w:hint="eastAsia" w:ascii="Times New Roman"/>
          <w:color w:val="auto"/>
          <w:sz w:val="30"/>
        </w:rPr>
        <w:t>第二十三部分  其他事项</w:t>
      </w:r>
      <w:bookmarkEnd w:id="465"/>
      <w:bookmarkEnd w:id="466"/>
      <w:bookmarkEnd w:id="467"/>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pPr>
        <w:spacing w:line="360" w:lineRule="auto"/>
        <w:ind w:firstLine="480" w:firstLineChars="200"/>
        <w:rPr>
          <w:rFonts w:ascii="宋体" w:hAnsi="宋体"/>
          <w:sz w:val="24"/>
        </w:rPr>
      </w:pPr>
    </w:p>
    <w:p>
      <w:pPr>
        <w:pStyle w:val="2"/>
        <w:spacing w:before="0" w:after="0"/>
        <w:jc w:val="center"/>
        <w:rPr>
          <w:rFonts w:ascii="Times New Roman"/>
          <w:color w:val="auto"/>
          <w:sz w:val="30"/>
        </w:rPr>
      </w:pPr>
      <w:bookmarkStart w:id="468" w:name="_Toc32355"/>
      <w:bookmarkStart w:id="469" w:name="_Toc15664"/>
      <w:bookmarkStart w:id="470" w:name="_Toc1360"/>
      <w:bookmarkStart w:id="471" w:name="_Toc20098"/>
      <w:bookmarkStart w:id="472" w:name="_Toc9054"/>
      <w:bookmarkStart w:id="473" w:name="_Toc21122"/>
      <w:bookmarkStart w:id="474" w:name="_Toc17263"/>
      <w:bookmarkStart w:id="475" w:name="_Toc141703905"/>
      <w:bookmarkStart w:id="476" w:name="_Toc15045"/>
      <w:bookmarkStart w:id="477" w:name="_Toc5108"/>
      <w:bookmarkStart w:id="478" w:name="_Toc12499"/>
      <w:bookmarkStart w:id="479" w:name="_Toc7437"/>
      <w:r>
        <w:rPr>
          <w:rFonts w:ascii="Times New Roman"/>
          <w:color w:val="auto"/>
          <w:sz w:val="30"/>
        </w:rPr>
        <w:br w:type="page"/>
      </w:r>
      <w:bookmarkStart w:id="480" w:name="_Toc519229420"/>
      <w:r>
        <w:rPr>
          <w:rFonts w:ascii="Times New Roman"/>
          <w:color w:val="auto"/>
          <w:sz w:val="30"/>
        </w:rPr>
        <w:t>第二十</w:t>
      </w:r>
      <w:r>
        <w:rPr>
          <w:rFonts w:hint="eastAsia" w:ascii="Times New Roman"/>
          <w:color w:val="auto"/>
          <w:sz w:val="30"/>
        </w:rPr>
        <w:t>四</w:t>
      </w:r>
      <w:r>
        <w:rPr>
          <w:rFonts w:ascii="Times New Roman"/>
          <w:color w:val="auto"/>
          <w:sz w:val="30"/>
        </w:rPr>
        <w:t>部分  基金合同内容摘要</w:t>
      </w:r>
      <w:bookmarkEnd w:id="63"/>
      <w:bookmarkEnd w:id="64"/>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360" w:lineRule="auto"/>
        <w:ind w:left="960"/>
        <w:rPr>
          <w:bCs/>
          <w:sz w:val="24"/>
        </w:rPr>
      </w:pPr>
    </w:p>
    <w:p>
      <w:pPr>
        <w:spacing w:line="360" w:lineRule="auto"/>
        <w:ind w:firstLine="482" w:firstLineChars="200"/>
        <w:rPr>
          <w:b/>
          <w:bCs/>
          <w:sz w:val="24"/>
        </w:rPr>
      </w:pPr>
      <w:r>
        <w:rPr>
          <w:rFonts w:hint="eastAsia"/>
          <w:b/>
          <w:bCs/>
          <w:sz w:val="24"/>
        </w:rPr>
        <w:t>一</w:t>
      </w:r>
      <w:r>
        <w:rPr>
          <w:b/>
          <w:bCs/>
          <w:sz w:val="24"/>
        </w:rPr>
        <w:t>、</w:t>
      </w:r>
      <w:r>
        <w:rPr>
          <w:rFonts w:hint="eastAsia"/>
          <w:b/>
          <w:bCs/>
          <w:sz w:val="24"/>
        </w:rPr>
        <w:t>基金份额持有人、基金管理人和基金托管人的权利与义务</w:t>
      </w:r>
    </w:p>
    <w:p>
      <w:pPr>
        <w:numPr>
          <w:ilvl w:val="1"/>
          <w:numId w:val="3"/>
        </w:numPr>
        <w:autoSpaceDE w:val="0"/>
        <w:autoSpaceDN w:val="0"/>
        <w:adjustRightInd w:val="0"/>
        <w:spacing w:line="360" w:lineRule="auto"/>
        <w:ind w:left="0" w:firstLine="426"/>
        <w:rPr>
          <w:bCs/>
          <w:sz w:val="24"/>
          <w:szCs w:val="24"/>
        </w:rPr>
      </w:pPr>
      <w:r>
        <w:rPr>
          <w:bCs/>
          <w:sz w:val="24"/>
          <w:szCs w:val="24"/>
        </w:rPr>
        <w:t>基金份额持有人的权利</w:t>
      </w:r>
      <w:r>
        <w:rPr>
          <w:rFonts w:hint="eastAsia"/>
          <w:bCs/>
          <w:sz w:val="24"/>
          <w:szCs w:val="24"/>
        </w:rPr>
        <w:t>与</w:t>
      </w:r>
      <w:r>
        <w:rPr>
          <w:bCs/>
          <w:sz w:val="24"/>
          <w:szCs w:val="24"/>
        </w:rPr>
        <w:t>义务</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w:t>
      </w:r>
      <w:r>
        <w:rPr>
          <w:rFonts w:hint="eastAsia"/>
          <w:bCs/>
          <w:sz w:val="24"/>
        </w:rPr>
        <w:t>在</w:t>
      </w:r>
      <w:r>
        <w:rPr>
          <w:bCs/>
          <w:sz w:val="24"/>
        </w:rPr>
        <w:t>开放期内，依法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w:t>
      </w:r>
      <w:r>
        <w:rPr>
          <w:rFonts w:hint="eastAsia"/>
          <w:bCs/>
          <w:sz w:val="24"/>
        </w:rPr>
        <w:t>基金份额持有人大会或者召集基金份额持有人大会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bCs/>
          <w:sz w:val="24"/>
        </w:rPr>
        <w:t>（9）法律法规及中国证监会规定的和《基金合同》约定的其他义务</w:t>
      </w:r>
      <w:r>
        <w:rPr>
          <w:rFonts w:hint="eastAsia"/>
          <w:bCs/>
          <w:sz w:val="24"/>
        </w:rPr>
        <w:t>；</w:t>
      </w:r>
    </w:p>
    <w:p>
      <w:pPr>
        <w:spacing w:line="360" w:lineRule="auto"/>
        <w:ind w:firstLine="480" w:firstLineChars="200"/>
        <w:rPr>
          <w:bCs/>
        </w:rPr>
      </w:pPr>
      <w:r>
        <w:rPr>
          <w:rFonts w:hint="eastAsia"/>
          <w:bCs/>
          <w:sz w:val="24"/>
        </w:rPr>
        <w:t>（1</w:t>
      </w:r>
      <w:r>
        <w:rPr>
          <w:bCs/>
          <w:sz w:val="24"/>
        </w:rPr>
        <w:t>0</w:t>
      </w:r>
      <w:r>
        <w:rPr>
          <w:rFonts w:hint="eastAsia"/>
          <w:bCs/>
          <w:sz w:val="24"/>
        </w:rPr>
        <w:t>）发起资金提供方使用发起资金认购的金额不少于1000万，且持有认购的基金份额的期限自基金合同生效之日起不少于3年。</w:t>
      </w:r>
    </w:p>
    <w:p>
      <w:pPr>
        <w:spacing w:line="360" w:lineRule="auto"/>
        <w:ind w:firstLine="480" w:firstLineChars="200"/>
        <w:rPr>
          <w:bCs/>
          <w:sz w:val="24"/>
        </w:rPr>
      </w:pPr>
      <w:r>
        <w:rPr>
          <w:bCs/>
          <w:sz w:val="24"/>
        </w:rPr>
        <w:t>（二）</w:t>
      </w:r>
      <w:r>
        <w:rPr>
          <w:bCs/>
          <w:sz w:val="24"/>
        </w:rPr>
        <w:tab/>
      </w:r>
      <w:r>
        <w:rPr>
          <w:bCs/>
          <w:sz w:val="24"/>
        </w:rPr>
        <w:t>基金管理人的权利</w:t>
      </w:r>
      <w:r>
        <w:rPr>
          <w:rFonts w:hint="eastAsia"/>
          <w:bCs/>
          <w:sz w:val="24"/>
        </w:rPr>
        <w:t>与</w:t>
      </w:r>
      <w:r>
        <w:rPr>
          <w:bCs/>
          <w:sz w:val="24"/>
        </w:rPr>
        <w:t>义务</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360" w:lineRule="auto"/>
        <w:ind w:firstLine="480" w:firstLineChars="200"/>
        <w:rPr>
          <w:bCs/>
          <w:sz w:val="24"/>
        </w:rPr>
      </w:pPr>
      <w:r>
        <w:rPr>
          <w:bCs/>
          <w:sz w:val="24"/>
        </w:rPr>
        <w:t xml:space="preserve">（8）选择、更换基金销售机构，对基金销售机构的相关行为进行监督和处理； </w:t>
      </w:r>
    </w:p>
    <w:p>
      <w:pPr>
        <w:spacing w:line="360" w:lineRule="auto"/>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与转换</w:t>
      </w:r>
      <w:r>
        <w:rPr>
          <w:bCs/>
          <w:sz w:val="24"/>
        </w:rPr>
        <w:t xml:space="preserve">申请； </w:t>
      </w:r>
    </w:p>
    <w:p>
      <w:pPr>
        <w:spacing w:line="440" w:lineRule="atLeast"/>
        <w:ind w:firstLine="480" w:firstLineChars="200"/>
        <w:rPr>
          <w:bCs/>
          <w:sz w:val="24"/>
        </w:rPr>
      </w:pPr>
      <w:r>
        <w:rPr>
          <w:bCs/>
          <w:sz w:val="24"/>
        </w:rPr>
        <w:t>（1</w:t>
      </w:r>
      <w:r>
        <w:rPr>
          <w:rFonts w:hint="eastAsia"/>
          <w:bCs/>
          <w:sz w:val="24"/>
        </w:rPr>
        <w:t>2</w:t>
      </w:r>
      <w:r>
        <w:rPr>
          <w:bCs/>
          <w:sz w:val="24"/>
        </w:rPr>
        <w:t>）依照法律法规为基金的利益行使因基金财产投资于证券所产生的权利；</w:t>
      </w:r>
      <w:r>
        <w:rPr>
          <w:bCs/>
          <w:sz w:val="24"/>
        </w:rPr>
        <w:tab/>
      </w:r>
    </w:p>
    <w:p>
      <w:pPr>
        <w:spacing w:line="440" w:lineRule="atLeast"/>
        <w:ind w:firstLine="480" w:firstLineChars="200"/>
        <w:rPr>
          <w:bCs/>
          <w:sz w:val="24"/>
        </w:rPr>
      </w:pPr>
      <w:r>
        <w:rPr>
          <w:bCs/>
          <w:sz w:val="24"/>
        </w:rPr>
        <w:t>（1</w:t>
      </w:r>
      <w:r>
        <w:rPr>
          <w:rFonts w:hint="eastAsia"/>
          <w:bCs/>
          <w:sz w:val="24"/>
        </w:rPr>
        <w:t>3</w:t>
      </w:r>
      <w:r>
        <w:rPr>
          <w:bCs/>
          <w:sz w:val="24"/>
        </w:rPr>
        <w:t xml:space="preserve">）在法律法规允许的前提下，为基金的利益依法为基金进行融资； </w:t>
      </w:r>
    </w:p>
    <w:p>
      <w:pPr>
        <w:spacing w:line="440" w:lineRule="atLeast"/>
        <w:ind w:firstLine="480" w:firstLineChars="200"/>
        <w:rPr>
          <w:bCs/>
          <w:sz w:val="24"/>
        </w:rPr>
      </w:pP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w:t>
      </w:r>
      <w:r>
        <w:rPr>
          <w:rFonts w:hint="eastAsia"/>
          <w:bCs/>
          <w:sz w:val="24"/>
        </w:rPr>
        <w:t>5</w:t>
      </w:r>
      <w:r>
        <w:rPr>
          <w:bCs/>
          <w:sz w:val="24"/>
        </w:rPr>
        <w:t>）选择、更换律师事务所、会计师事务所、证券</w:t>
      </w:r>
      <w:r>
        <w:rPr>
          <w:rFonts w:hint="eastAsia"/>
          <w:bCs/>
          <w:sz w:val="24"/>
        </w:rPr>
        <w:t>、</w:t>
      </w:r>
      <w:r>
        <w:rPr>
          <w:bCs/>
          <w:sz w:val="24"/>
        </w:rPr>
        <w:t>期货经纪商或其他为基金提供服务的外部机构；</w:t>
      </w:r>
      <w:r>
        <w:rPr>
          <w:bCs/>
          <w:sz w:val="24"/>
        </w:rPr>
        <w:tab/>
      </w:r>
    </w:p>
    <w:p>
      <w:pPr>
        <w:spacing w:line="440" w:lineRule="atLeast"/>
        <w:ind w:firstLine="480" w:firstLineChars="200"/>
        <w:rPr>
          <w:bCs/>
          <w:sz w:val="24"/>
        </w:rPr>
      </w:pPr>
      <w:r>
        <w:rPr>
          <w:bCs/>
          <w:sz w:val="24"/>
        </w:rPr>
        <w:t>（1</w:t>
      </w:r>
      <w:r>
        <w:rPr>
          <w:rFonts w:hint="eastAsia"/>
          <w:bCs/>
          <w:sz w:val="24"/>
        </w:rPr>
        <w:t>6</w:t>
      </w:r>
      <w:r>
        <w:rPr>
          <w:bCs/>
          <w:sz w:val="24"/>
        </w:rPr>
        <w:t>）在符合有关法律、法规的前提下，制订和调整有关基金认购、申购、赎回、转换和非交易过户的业务规则；</w:t>
      </w:r>
    </w:p>
    <w:p>
      <w:pPr>
        <w:spacing w:line="440" w:lineRule="atLeast"/>
        <w:ind w:firstLine="480" w:firstLineChars="200"/>
        <w:rPr>
          <w:bCs/>
          <w:sz w:val="24"/>
        </w:rPr>
      </w:pPr>
      <w:r>
        <w:rPr>
          <w:bCs/>
          <w:sz w:val="24"/>
        </w:rPr>
        <w:t>（1</w:t>
      </w:r>
      <w:r>
        <w:rPr>
          <w:rFonts w:hint="eastAsia"/>
          <w:bCs/>
          <w:sz w:val="24"/>
        </w:rPr>
        <w:t>7</w:t>
      </w:r>
      <w:r>
        <w:rPr>
          <w:bCs/>
          <w:sz w:val="24"/>
        </w:rPr>
        <w:t>）法律法规及中国证监会规定的和《基金合同》约定的其他权利。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w:t>
      </w:r>
      <w:r>
        <w:rPr>
          <w:rFonts w:hint="eastAsia"/>
          <w:bCs/>
          <w:sz w:val="24"/>
        </w:rPr>
        <w:t>或者委托经中国证监会认定的其他机构代为办理</w:t>
      </w:r>
      <w:r>
        <w:rPr>
          <w:bCs/>
          <w:sz w:val="24"/>
        </w:rPr>
        <w:t>基金份额的发售</w:t>
      </w:r>
      <w:r>
        <w:rPr>
          <w:rFonts w:hint="eastAsia"/>
          <w:bCs/>
          <w:sz w:val="24"/>
        </w:rPr>
        <w:t>、申购、赎回</w:t>
      </w:r>
      <w:r>
        <w:rPr>
          <w:bCs/>
          <w:sz w:val="24"/>
        </w:rPr>
        <w:t>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w:t>
      </w:r>
      <w:r>
        <w:rPr>
          <w:rFonts w:hint="eastAsia"/>
          <w:bCs/>
          <w:sz w:val="24"/>
        </w:rPr>
        <w:t>在基金信息公开披露前应予保密，不向他人泄露，向其聘请的审计、法律等外部专业顾问提供的除外，但应确保该等审计、法律等外部专业顾问有关人员同时遵守保密义务；</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w:t>
      </w:r>
      <w:r>
        <w:rPr>
          <w:rFonts w:hint="eastAsia"/>
          <w:bCs/>
          <w:sz w:val="24"/>
        </w:rPr>
        <w:t>管理人</w:t>
      </w:r>
      <w:r>
        <w:rPr>
          <w:bCs/>
          <w:sz w:val="24"/>
        </w:rPr>
        <w:t>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w:t>
      </w:r>
      <w:r>
        <w:rPr>
          <w:rFonts w:hint="eastAsia"/>
          <w:bCs/>
          <w:sz w:val="24"/>
        </w:rPr>
        <w:t>、</w:t>
      </w:r>
      <w:r>
        <w:rPr>
          <w:bCs/>
          <w:sz w:val="24"/>
        </w:rPr>
        <w:t>期货交易资金清算。</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rFonts w:hint="eastAsia"/>
          <w:bCs/>
          <w:sz w:val="24"/>
        </w:rPr>
        <w:t>（</w:t>
      </w:r>
      <w:r>
        <w:rPr>
          <w:bCs/>
          <w:sz w:val="24"/>
        </w:rPr>
        <w:t>1</w:t>
      </w:r>
      <w:r>
        <w:rPr>
          <w:rFonts w:hint="eastAsia"/>
          <w:bCs/>
          <w:sz w:val="24"/>
        </w:rPr>
        <w:t>）以诚实信用、勤勉尽责的原则持有并安全保管基金财产，不对处于托管人实际控制之外的财产承担保管责任；</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w:t>
      </w:r>
      <w:r>
        <w:rPr>
          <w:rFonts w:hint="eastAsia"/>
          <w:bCs/>
          <w:sz w:val="24"/>
        </w:rPr>
        <w:t>、《托管协议》</w:t>
      </w:r>
      <w:r>
        <w:rPr>
          <w:bCs/>
          <w:sz w:val="24"/>
        </w:rPr>
        <w:t>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w:t>
      </w:r>
      <w:r>
        <w:rPr>
          <w:bCs/>
          <w:sz w:val="24"/>
        </w:rPr>
        <w:t>按照《基金合同》</w:t>
      </w:r>
      <w:r>
        <w:rPr>
          <w:rFonts w:hint="eastAsia"/>
          <w:bCs/>
          <w:sz w:val="24"/>
        </w:rPr>
        <w:t>及《托管协议》</w:t>
      </w:r>
      <w:r>
        <w:rPr>
          <w:bCs/>
          <w:sz w:val="24"/>
        </w:rPr>
        <w:t>的约定，根据基金管理人的投资指令，及时办理清算、交割事宜；</w:t>
      </w:r>
    </w:p>
    <w:p>
      <w:pPr>
        <w:spacing w:line="360" w:lineRule="auto"/>
        <w:ind w:firstLine="480" w:firstLineChars="200"/>
        <w:rPr>
          <w:bCs/>
          <w:sz w:val="24"/>
        </w:rPr>
      </w:pPr>
      <w:r>
        <w:rPr>
          <w:bCs/>
          <w:sz w:val="24"/>
        </w:rPr>
        <w:t>（7）保守基金商业秘密，除《基金法》、《基金合同》</w:t>
      </w:r>
      <w:r>
        <w:rPr>
          <w:rFonts w:hint="eastAsia"/>
          <w:bCs/>
          <w:sz w:val="24"/>
        </w:rPr>
        <w:t>、《托管协议》</w:t>
      </w:r>
      <w:r>
        <w:rPr>
          <w:bCs/>
          <w:sz w:val="24"/>
        </w:rPr>
        <w:t>及其他有关规定另有规定外，在基金信息公开披露前予以保密，不得向他人泄露</w:t>
      </w:r>
      <w:r>
        <w:rPr>
          <w:rFonts w:hint="eastAsia"/>
          <w:bCs/>
          <w:sz w:val="24"/>
        </w:rPr>
        <w:t>，向其聘请的审计、法律等外部专业顾问提供的除外，但应确保该等审计、法律等外部专业顾问有关人员同时遵守保密义务</w:t>
      </w:r>
      <w:r>
        <w:rPr>
          <w:bCs/>
          <w:sz w:val="24"/>
        </w:rPr>
        <w:t xml:space="preserve">； </w:t>
      </w:r>
    </w:p>
    <w:p>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w:t>
      </w:r>
      <w:r>
        <w:rPr>
          <w:rFonts w:hint="eastAsia"/>
          <w:bCs/>
          <w:sz w:val="24"/>
        </w:rPr>
        <w:t>及《托管协议》</w:t>
      </w:r>
      <w:r>
        <w:rPr>
          <w:bCs/>
          <w:sz w:val="24"/>
        </w:rPr>
        <w:t>的规定进行；如果基金管理人有未执行《基金合同》</w:t>
      </w:r>
      <w:r>
        <w:rPr>
          <w:rFonts w:hint="eastAsia"/>
          <w:bCs/>
          <w:sz w:val="24"/>
        </w:rPr>
        <w:t>及《托管协议》</w:t>
      </w:r>
      <w:r>
        <w:rPr>
          <w:bCs/>
          <w:sz w:val="24"/>
        </w:rPr>
        <w:t>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15</w:t>
      </w:r>
      <w:r>
        <w:rPr>
          <w:bCs/>
          <w:sz w:val="24"/>
        </w:rPr>
        <w:t>年以上；</w:t>
      </w:r>
    </w:p>
    <w:p>
      <w:pPr>
        <w:spacing w:line="360" w:lineRule="auto"/>
        <w:ind w:firstLine="480" w:firstLineChars="200"/>
        <w:rPr>
          <w:bCs/>
          <w:sz w:val="24"/>
        </w:rPr>
      </w:pPr>
      <w:r>
        <w:rPr>
          <w:bCs/>
          <w:sz w:val="24"/>
        </w:rPr>
        <w:t>（12）</w:t>
      </w:r>
      <w:r>
        <w:rPr>
          <w:rFonts w:hint="eastAsia"/>
          <w:bCs/>
          <w:sz w:val="24"/>
        </w:rPr>
        <w:t>从基金管理人或其委托的登记机构处接收</w:t>
      </w:r>
      <w:r>
        <w:rPr>
          <w:bCs/>
          <w:sz w:val="24"/>
        </w:rPr>
        <w:t>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w:t>
      </w:r>
      <w:r>
        <w:rPr>
          <w:rFonts w:hint="eastAsia"/>
          <w:bCs/>
          <w:sz w:val="24"/>
        </w:rPr>
        <w:t>及《托管协议》</w:t>
      </w:r>
      <w:r>
        <w:rPr>
          <w:bCs/>
          <w:sz w:val="24"/>
        </w:rPr>
        <w:t>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w:t>
      </w:r>
      <w:r>
        <w:rPr>
          <w:rFonts w:hint="eastAsia"/>
          <w:bCs/>
          <w:sz w:val="24"/>
        </w:rPr>
        <w:t>及《托管协议》</w:t>
      </w:r>
      <w:r>
        <w:rPr>
          <w:bCs/>
          <w:sz w:val="24"/>
        </w:rPr>
        <w:t>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autoSpaceDE w:val="0"/>
        <w:autoSpaceDN w:val="0"/>
        <w:adjustRightInd w:val="0"/>
        <w:spacing w:line="360" w:lineRule="auto"/>
        <w:ind w:firstLine="420" w:firstLineChars="200"/>
        <w:jc w:val="left"/>
        <w:rPr>
          <w:bCs/>
        </w:rPr>
      </w:pPr>
    </w:p>
    <w:p>
      <w:pPr>
        <w:autoSpaceDE w:val="0"/>
        <w:autoSpaceDN w:val="0"/>
        <w:adjustRightInd w:val="0"/>
        <w:spacing w:line="360" w:lineRule="auto"/>
        <w:ind w:firstLine="482" w:firstLineChars="200"/>
        <w:jc w:val="left"/>
        <w:rPr>
          <w:b/>
          <w:bCs/>
          <w:sz w:val="24"/>
          <w:szCs w:val="24"/>
        </w:rPr>
      </w:pPr>
      <w:r>
        <w:rPr>
          <w:rFonts w:hint="eastAsia"/>
          <w:b/>
          <w:bCs/>
          <w:sz w:val="24"/>
          <w:szCs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本基金的基金份额持有人大会不设立日常机构。</w:t>
      </w:r>
    </w:p>
    <w:p>
      <w:pPr>
        <w:spacing w:line="360" w:lineRule="auto"/>
        <w:ind w:firstLine="480" w:firstLineChars="200"/>
        <w:rPr>
          <w:bCs/>
          <w:sz w:val="24"/>
        </w:rPr>
      </w:pPr>
      <w:r>
        <w:rPr>
          <w:rFonts w:hint="eastAsia"/>
          <w:bCs/>
          <w:sz w:val="24"/>
        </w:rPr>
        <w:t>（</w:t>
      </w:r>
      <w:r>
        <w:rPr>
          <w:bCs/>
          <w:sz w:val="24"/>
        </w:rPr>
        <w:t>一</w:t>
      </w:r>
      <w:r>
        <w:rPr>
          <w:rFonts w:hint="eastAsia"/>
          <w:bCs/>
          <w:sz w:val="24"/>
        </w:rPr>
        <w:t>）</w:t>
      </w:r>
      <w:r>
        <w:rPr>
          <w:bCs/>
          <w:sz w:val="24"/>
        </w:rPr>
        <w:t>召开事由</w:t>
      </w:r>
    </w:p>
    <w:p>
      <w:pPr>
        <w:spacing w:line="360" w:lineRule="auto"/>
        <w:ind w:firstLine="480" w:firstLineChars="200"/>
        <w:rPr>
          <w:bCs/>
          <w:sz w:val="24"/>
        </w:rPr>
      </w:pPr>
      <w:r>
        <w:rPr>
          <w:bCs/>
          <w:sz w:val="24"/>
        </w:rPr>
        <w:t>1、</w:t>
      </w:r>
      <w:r>
        <w:rPr>
          <w:rFonts w:hint="eastAsia"/>
          <w:bCs/>
          <w:sz w:val="24"/>
        </w:rPr>
        <w:t>除法律法规、中国证监会另有规定</w:t>
      </w:r>
      <w:r>
        <w:rPr>
          <w:rFonts w:hint="eastAsia" w:ascii="Arial" w:hAnsi="Arial" w:cs="Arial"/>
          <w:bCs/>
          <w:sz w:val="24"/>
        </w:rPr>
        <w:t>或基金合同另有约定</w:t>
      </w:r>
      <w:r>
        <w:rPr>
          <w:rFonts w:hint="eastAsia"/>
          <w:bCs/>
          <w:sz w:val="24"/>
        </w:rPr>
        <w:t>外，</w:t>
      </w:r>
      <w:r>
        <w:rPr>
          <w:bCs/>
          <w:sz w:val="24"/>
        </w:rPr>
        <w:t>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w:t>
      </w:r>
      <w:r>
        <w:rPr>
          <w:bCs/>
          <w:sz w:val="24"/>
        </w:rPr>
        <w:t>不</w:t>
      </w:r>
      <w:r>
        <w:rPr>
          <w:rFonts w:hint="eastAsia"/>
          <w:bCs/>
          <w:sz w:val="24"/>
        </w:rPr>
        <w:t>违反法律法规规定和《基金合同》约定且对基金份额持有人利益无实质性不利影响的前提下，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）调整本基金的申购费率</w:t>
      </w:r>
      <w:r>
        <w:rPr>
          <w:rFonts w:hint="eastAsia"/>
          <w:bCs/>
          <w:sz w:val="24"/>
        </w:rPr>
        <w:t>、</w:t>
      </w:r>
      <w:r>
        <w:rPr>
          <w:bCs/>
          <w:sz w:val="24"/>
        </w:rPr>
        <w:t>调低赎回费率</w:t>
      </w:r>
      <w:r>
        <w:rPr>
          <w:rFonts w:hint="eastAsia"/>
          <w:bCs/>
          <w:sz w:val="24"/>
        </w:rPr>
        <w:t>或变更收费方式</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pPr>
        <w:spacing w:line="360" w:lineRule="auto"/>
        <w:ind w:firstLine="480" w:firstLineChars="200"/>
        <w:rPr>
          <w:bCs/>
          <w:sz w:val="24"/>
        </w:rPr>
      </w:pPr>
      <w:r>
        <w:rPr>
          <w:rFonts w:hint="eastAsia"/>
          <w:bCs/>
          <w:sz w:val="24"/>
        </w:rPr>
        <w:t>（5）基金推出新业务或服务，或调整基金份额类别设置；</w:t>
      </w:r>
    </w:p>
    <w:p>
      <w:pPr>
        <w:spacing w:line="360" w:lineRule="auto"/>
        <w:ind w:firstLine="480" w:firstLineChars="200"/>
        <w:rPr>
          <w:bCs/>
          <w:sz w:val="24"/>
        </w:rPr>
      </w:pPr>
      <w:r>
        <w:rPr>
          <w:rFonts w:hint="eastAsia"/>
          <w:bCs/>
          <w:sz w:val="24"/>
        </w:rPr>
        <w:t>（6）</w:t>
      </w:r>
      <w:r>
        <w:rPr>
          <w:bCs/>
          <w:sz w:val="24"/>
        </w:rPr>
        <w:t>基金管理人、登记机构、基金销售机构在法律法规规定或中国证监会许可的范围内调整有关认购、申购、赎回、转换、基金交易、非交易过户、转托管等业务规则；</w:t>
      </w:r>
    </w:p>
    <w:p>
      <w:pPr>
        <w:spacing w:line="360" w:lineRule="auto"/>
        <w:ind w:firstLine="480" w:firstLineChars="200"/>
        <w:rPr>
          <w:rFonts w:ascii="Arial" w:hAnsi="Arial" w:cs="Arial"/>
          <w:bCs/>
          <w:sz w:val="24"/>
        </w:rPr>
      </w:pPr>
      <w:r>
        <w:rPr>
          <w:rFonts w:ascii="Arial" w:hAnsi="Arial" w:cs="Arial"/>
          <w:bCs/>
          <w:sz w:val="24"/>
        </w:rPr>
        <w:t>（7）</w:t>
      </w:r>
      <w:r>
        <w:rPr>
          <w:rFonts w:hint="eastAsia" w:ascii="Arial" w:hAnsi="Arial" w:cs="Arial"/>
          <w:bCs/>
          <w:sz w:val="24"/>
        </w:rPr>
        <w:t>调整基金收益的分配原则和支付方式；</w:t>
      </w:r>
    </w:p>
    <w:p>
      <w:pPr>
        <w:spacing w:line="360" w:lineRule="auto"/>
        <w:ind w:firstLine="480" w:firstLineChars="200"/>
        <w:rPr>
          <w:bCs/>
          <w:sz w:val="24"/>
        </w:rPr>
      </w:pPr>
      <w:r>
        <w:rPr>
          <w:rFonts w:hint="eastAsia"/>
          <w:bCs/>
          <w:sz w:val="24"/>
        </w:rPr>
        <w:t>（</w:t>
      </w:r>
      <w:r>
        <w:rPr>
          <w:bCs/>
          <w:sz w:val="24"/>
        </w:rPr>
        <w:t>8）按照法律法规和《基金合同》规定不需召开基金份额持有人大会</w:t>
      </w:r>
      <w:r>
        <w:rPr>
          <w:rFonts w:hint="eastAsia"/>
          <w:bCs/>
          <w:sz w:val="24"/>
        </w:rPr>
        <w:t>的</w:t>
      </w:r>
      <w:r>
        <w:rPr>
          <w:bCs/>
          <w:sz w:val="24"/>
        </w:rPr>
        <w:t>其他情形。</w:t>
      </w:r>
    </w:p>
    <w:p>
      <w:pPr>
        <w:spacing w:line="360" w:lineRule="auto"/>
        <w:ind w:firstLine="480" w:firstLineChars="200"/>
        <w:rPr>
          <w:bCs/>
          <w:sz w:val="24"/>
        </w:rPr>
      </w:pPr>
      <w:r>
        <w:rPr>
          <w:rFonts w:hint="eastAsia"/>
          <w:bCs/>
          <w:sz w:val="24"/>
        </w:rPr>
        <w:t>（</w:t>
      </w:r>
      <w:r>
        <w:rPr>
          <w:bCs/>
          <w:sz w:val="24"/>
        </w:rPr>
        <w:t>二</w:t>
      </w:r>
      <w:r>
        <w:rPr>
          <w:rFonts w:hint="eastAsia"/>
          <w:bCs/>
          <w:sz w:val="24"/>
        </w:rPr>
        <w:t>）</w:t>
      </w:r>
      <w:r>
        <w:rPr>
          <w:bCs/>
          <w:sz w:val="24"/>
        </w:rPr>
        <w:t>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80" w:firstLineChars="200"/>
        <w:rPr>
          <w:bCs/>
          <w:sz w:val="24"/>
        </w:rPr>
      </w:pPr>
      <w:r>
        <w:rPr>
          <w:rFonts w:hint="eastAsia"/>
          <w:bCs/>
          <w:sz w:val="24"/>
        </w:rPr>
        <w:t>（</w:t>
      </w:r>
      <w:r>
        <w:rPr>
          <w:bCs/>
          <w:sz w:val="24"/>
        </w:rPr>
        <w:t>四</w:t>
      </w:r>
      <w:r>
        <w:rPr>
          <w:rFonts w:hint="eastAsia"/>
          <w:bCs/>
          <w:sz w:val="24"/>
        </w:rPr>
        <w:t>）</w:t>
      </w:r>
      <w:r>
        <w:rPr>
          <w:bCs/>
          <w:sz w:val="24"/>
        </w:rPr>
        <w:t>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r>
        <w:rPr>
          <w:rFonts w:hint="eastAsia"/>
          <w:bCs/>
          <w:sz w:val="24"/>
        </w:rPr>
        <w:t>基金管理人、基金托管人须为基金份额持有人行使投票权提供便利。</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或基金合同约定的其他方式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sz w:val="24"/>
        </w:rPr>
      </w:pPr>
      <w:r>
        <w:rPr>
          <w:bCs/>
          <w:sz w:val="24"/>
        </w:rPr>
        <w:t>（3）本人直接出具书面意见或授权他人代表出具书面意见的，基金份额持有人所持有的基金份额不小于在权益登记日基金总份额的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pPr>
        <w:spacing w:line="360" w:lineRule="auto"/>
        <w:ind w:firstLine="480" w:firstLineChars="200"/>
        <w:rPr>
          <w:bCs/>
          <w:sz w:val="24"/>
        </w:rPr>
      </w:pPr>
      <w:r>
        <w:rPr>
          <w:bCs/>
          <w:sz w:val="24"/>
        </w:rPr>
        <w:t>3、在法律法规</w:t>
      </w:r>
      <w:r>
        <w:rPr>
          <w:rFonts w:hint="eastAsia"/>
          <w:bCs/>
          <w:sz w:val="24"/>
        </w:rPr>
        <w:t>及监管机构允许的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bCs/>
          <w:sz w:val="24"/>
        </w:rPr>
        <w:t>4、基金份额持有人授权他人代为出席会议并表决的，在</w:t>
      </w:r>
      <w:r>
        <w:rPr>
          <w:rFonts w:hint="eastAsia"/>
          <w:bCs/>
          <w:sz w:val="24"/>
        </w:rPr>
        <w:t>法律法规及监管机构允许</w:t>
      </w:r>
      <w:r>
        <w:rPr>
          <w:bCs/>
          <w:sz w:val="24"/>
        </w:rPr>
        <w:t>的前提下</w:t>
      </w:r>
      <w:r>
        <w:rPr>
          <w:rFonts w:hint="eastAsia"/>
          <w:bCs/>
          <w:sz w:val="24"/>
        </w:rPr>
        <w:t>，</w:t>
      </w:r>
      <w:r>
        <w:rPr>
          <w:bCs/>
          <w:sz w:val="24"/>
        </w:rPr>
        <w:t>授权方式可以采用书面、网络、电话、短信或其他方式，具体方式在会议通知中列明。</w:t>
      </w:r>
    </w:p>
    <w:p>
      <w:pPr>
        <w:spacing w:line="360" w:lineRule="auto"/>
        <w:ind w:firstLine="480" w:firstLineChars="200"/>
        <w:rPr>
          <w:bCs/>
          <w:sz w:val="24"/>
        </w:rPr>
      </w:pPr>
      <w:r>
        <w:rPr>
          <w:rFonts w:hint="eastAsia"/>
          <w:bCs/>
          <w:sz w:val="24"/>
        </w:rPr>
        <w:t>（</w:t>
      </w:r>
      <w:r>
        <w:rPr>
          <w:bCs/>
          <w:sz w:val="24"/>
        </w:rPr>
        <w:t>五</w:t>
      </w:r>
      <w:r>
        <w:rPr>
          <w:rFonts w:hint="eastAsia"/>
          <w:bCs/>
          <w:sz w:val="24"/>
        </w:rPr>
        <w:t>）</w:t>
      </w:r>
      <w:r>
        <w:rPr>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rFonts w:hint="eastAsia"/>
          <w:bCs/>
          <w:sz w:val="24"/>
        </w:rPr>
        <w:t>（</w:t>
      </w:r>
      <w:r>
        <w:rPr>
          <w:bCs/>
          <w:sz w:val="24"/>
        </w:rPr>
        <w:t>六</w:t>
      </w:r>
      <w:r>
        <w:rPr>
          <w:rFonts w:hint="eastAsia"/>
          <w:bCs/>
          <w:sz w:val="24"/>
        </w:rPr>
        <w:t>）</w:t>
      </w:r>
      <w:r>
        <w:rPr>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bCs/>
          <w:sz w:val="24"/>
        </w:rPr>
        <w:t>（</w:t>
      </w:r>
      <w:r>
        <w:rPr>
          <w:bCs/>
          <w:sz w:val="24"/>
        </w:rPr>
        <w:t>七</w:t>
      </w:r>
      <w:r>
        <w:rPr>
          <w:rFonts w:hint="eastAsia"/>
          <w:bCs/>
          <w:sz w:val="24"/>
        </w:rPr>
        <w:t>）</w:t>
      </w:r>
      <w:r>
        <w:rPr>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line="360" w:lineRule="auto"/>
        <w:ind w:firstLine="480" w:firstLineChars="200"/>
        <w:rPr>
          <w:bCs/>
          <w:sz w:val="24"/>
        </w:rPr>
      </w:pPr>
      <w:r>
        <w:rPr>
          <w:rFonts w:hint="eastAsia"/>
          <w:bCs/>
          <w:sz w:val="24"/>
        </w:rPr>
        <w:t>（</w:t>
      </w:r>
      <w:r>
        <w:rPr>
          <w:bCs/>
          <w:sz w:val="24"/>
        </w:rPr>
        <w:t>八</w:t>
      </w:r>
      <w:r>
        <w:rPr>
          <w:rFonts w:hint="eastAsia"/>
          <w:bCs/>
          <w:sz w:val="24"/>
        </w:rPr>
        <w:t>）</w:t>
      </w:r>
      <w:r>
        <w:rPr>
          <w:bCs/>
          <w:sz w:val="24"/>
        </w:rPr>
        <w:t>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w:t>
      </w:r>
      <w:r>
        <w:rPr>
          <w:bCs/>
          <w:sz w:val="24"/>
        </w:rPr>
        <w:t>九</w:t>
      </w:r>
      <w:r>
        <w:rPr>
          <w:rFonts w:hint="eastAsia"/>
          <w:bCs/>
          <w:sz w:val="24"/>
        </w:rPr>
        <w:t>）实施侧袋机制期间基金份额持有人大会的特殊约定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pPr>
        <w:spacing w:line="360" w:lineRule="auto"/>
        <w:ind w:firstLine="480" w:firstLineChars="200"/>
        <w:rPr>
          <w:bCs/>
          <w:sz w:val="24"/>
        </w:rPr>
      </w:pPr>
      <w:r>
        <w:rPr>
          <w:bCs/>
          <w:sz w:val="24"/>
        </w:rPr>
        <w:t>2</w:t>
      </w:r>
      <w:r>
        <w:rPr>
          <w:rFonts w:hint="eastAsia"/>
          <w:bCs/>
          <w:sz w:val="24"/>
        </w:rPr>
        <w:t>、现场开会的到会者在权益登记日代表的基金份额不少于本基金在权益登记日相关基金份额的二分之一（含二分之一）；</w:t>
      </w:r>
    </w:p>
    <w:p>
      <w:pPr>
        <w:spacing w:line="360" w:lineRule="auto"/>
        <w:ind w:firstLine="480" w:firstLineChars="200"/>
        <w:rPr>
          <w:bCs/>
          <w:sz w:val="24"/>
        </w:rPr>
      </w:pPr>
      <w:r>
        <w:rPr>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pPr>
        <w:spacing w:line="360" w:lineRule="auto"/>
        <w:ind w:firstLine="480" w:firstLineChars="200"/>
        <w:rPr>
          <w:bCs/>
          <w:sz w:val="24"/>
        </w:rPr>
      </w:pPr>
      <w:r>
        <w:rPr>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pPr>
        <w:spacing w:line="360" w:lineRule="auto"/>
        <w:ind w:firstLine="480" w:firstLineChars="200"/>
        <w:rPr>
          <w:bCs/>
          <w:sz w:val="24"/>
        </w:rPr>
      </w:pPr>
      <w:r>
        <w:rPr>
          <w:bCs/>
          <w:sz w:val="24"/>
        </w:rPr>
        <w:t>6</w:t>
      </w:r>
      <w:r>
        <w:rPr>
          <w:rFonts w:hint="eastAsia"/>
          <w:bCs/>
          <w:sz w:val="24"/>
        </w:rPr>
        <w:t>、一般决议须经参加大会的基金份额持有人或其代理人所持表决权的二分之一以上（含二分之一）通过；</w:t>
      </w:r>
    </w:p>
    <w:p>
      <w:pPr>
        <w:spacing w:line="360" w:lineRule="auto"/>
        <w:ind w:firstLine="480" w:firstLineChars="200"/>
        <w:rPr>
          <w:bCs/>
          <w:sz w:val="24"/>
        </w:rPr>
      </w:pPr>
      <w:r>
        <w:rPr>
          <w:bCs/>
          <w:sz w:val="24"/>
        </w:rPr>
        <w:t>7</w:t>
      </w:r>
      <w:r>
        <w:rPr>
          <w:rFonts w:hint="eastAsia"/>
          <w:bCs/>
          <w:sz w:val="24"/>
        </w:rPr>
        <w:t>、特别决议应当经参加大会的基金份额持有人或其代理人所持表决权的三分之二以上（含三分之二）通过。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autoSpaceDE w:val="0"/>
        <w:autoSpaceDN w:val="0"/>
        <w:adjustRightInd w:val="0"/>
        <w:spacing w:line="360" w:lineRule="auto"/>
        <w:ind w:firstLine="480" w:firstLineChars="200"/>
        <w:rPr>
          <w:bCs/>
          <w:sz w:val="24"/>
          <w:szCs w:val="24"/>
        </w:rPr>
      </w:pPr>
      <w:r>
        <w:rPr>
          <w:bCs/>
          <w:sz w:val="24"/>
        </w:rPr>
        <w:t>（</w:t>
      </w:r>
      <w:r>
        <w:rPr>
          <w:rFonts w:hint="eastAsia"/>
          <w:bCs/>
          <w:sz w:val="24"/>
        </w:rPr>
        <w:t>十）</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pPr>
        <w:autoSpaceDE w:val="0"/>
        <w:autoSpaceDN w:val="0"/>
        <w:adjustRightInd w:val="0"/>
        <w:spacing w:line="360" w:lineRule="auto"/>
        <w:ind w:firstLine="420" w:firstLineChars="200"/>
        <w:rPr>
          <w:bCs/>
        </w:rPr>
      </w:pPr>
    </w:p>
    <w:p>
      <w:pPr>
        <w:autoSpaceDE w:val="0"/>
        <w:autoSpaceDN w:val="0"/>
        <w:adjustRightInd w:val="0"/>
        <w:spacing w:line="360" w:lineRule="auto"/>
        <w:ind w:firstLine="482" w:firstLineChars="200"/>
        <w:rPr>
          <w:bCs/>
          <w:sz w:val="24"/>
          <w:szCs w:val="24"/>
        </w:rPr>
      </w:pPr>
      <w:r>
        <w:rPr>
          <w:rFonts w:hint="eastAsia"/>
          <w:b/>
          <w:bCs/>
          <w:sz w:val="24"/>
          <w:szCs w:val="24"/>
        </w:rPr>
        <w:t>三、基金收益分配原则、执行方式</w:t>
      </w:r>
    </w:p>
    <w:p>
      <w:pPr>
        <w:autoSpaceDE w:val="0"/>
        <w:autoSpaceDN w:val="0"/>
        <w:adjustRightInd w:val="0"/>
        <w:spacing w:line="360" w:lineRule="auto"/>
        <w:ind w:firstLine="480" w:firstLineChars="200"/>
        <w:rPr>
          <w:bCs/>
          <w:sz w:val="24"/>
        </w:rPr>
      </w:pPr>
      <w:r>
        <w:rPr>
          <w:rFonts w:hint="eastAsia"/>
          <w:bCs/>
          <w:sz w:val="24"/>
        </w:rPr>
        <w:t>（一）</w:t>
      </w:r>
      <w:r>
        <w:rPr>
          <w:bCs/>
          <w:sz w:val="24"/>
        </w:rPr>
        <w:t>基金收益分配原则</w:t>
      </w:r>
    </w:p>
    <w:p>
      <w:pPr>
        <w:spacing w:line="360" w:lineRule="auto"/>
        <w:ind w:firstLine="540" w:firstLineChars="225"/>
        <w:rPr>
          <w:bCs/>
          <w:sz w:val="24"/>
        </w:rPr>
      </w:pPr>
      <w:r>
        <w:rPr>
          <w:rFonts w:hint="eastAsia"/>
          <w:bCs/>
          <w:sz w:val="24"/>
        </w:rPr>
        <w:t>1、在符合有关基金分红条件的前提下，</w:t>
      </w:r>
      <w:r>
        <w:rPr>
          <w:bCs/>
          <w:sz w:val="24"/>
        </w:rPr>
        <w:t>本基金基金管理人可以根据实际情况进行收益分配，具体分配方案以公告为准</w:t>
      </w:r>
      <w:r>
        <w:rPr>
          <w:rFonts w:hint="eastAsia"/>
          <w:bCs/>
          <w:sz w:val="24"/>
        </w:rPr>
        <w:t>，若《基金合同》生效不满3个月可不进行收益分配；</w:t>
      </w:r>
    </w:p>
    <w:p>
      <w:pPr>
        <w:spacing w:line="360" w:lineRule="auto"/>
        <w:ind w:firstLine="540" w:firstLineChars="225"/>
        <w:rPr>
          <w:bCs/>
          <w:sz w:val="24"/>
        </w:rPr>
      </w:pPr>
      <w:r>
        <w:rPr>
          <w:rFonts w:hint="eastAsia"/>
          <w:bCs/>
          <w:sz w:val="24"/>
        </w:rPr>
        <w:t>2、本基金收益分配方式分两种：现金分红与红利再投资，投资者可选择现金红利或将现金红利自动转为基金份额进行再投资；若投资者不选择，本基金默认的收益分配方式是现金分红；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sz w:val="24"/>
        </w:rPr>
      </w:pPr>
      <w:r>
        <w:rPr>
          <w:rFonts w:hint="eastAsia"/>
          <w:bCs/>
          <w:sz w:val="24"/>
        </w:rPr>
        <w:t>3、基金收益分配后基金份额净值不能低于面值；即基金收益分配基准日的基金份额净值减去每单位基金份额收益分配金额后不能低于面值；</w:t>
      </w:r>
    </w:p>
    <w:p>
      <w:pPr>
        <w:spacing w:line="360" w:lineRule="auto"/>
        <w:ind w:firstLine="540" w:firstLineChars="225"/>
        <w:rPr>
          <w:bCs/>
          <w:sz w:val="24"/>
        </w:rPr>
      </w:pPr>
      <w:r>
        <w:rPr>
          <w:rFonts w:hint="eastAsia"/>
          <w:bCs/>
          <w:sz w:val="24"/>
        </w:rPr>
        <w:t>4、每一基金份额享有同等分配权；</w:t>
      </w:r>
    </w:p>
    <w:p>
      <w:pPr>
        <w:spacing w:line="360" w:lineRule="auto"/>
        <w:ind w:firstLine="540" w:firstLineChars="225"/>
        <w:rPr>
          <w:bCs/>
          <w:sz w:val="24"/>
        </w:rPr>
      </w:pPr>
      <w:r>
        <w:rPr>
          <w:rFonts w:hint="eastAsia"/>
          <w:bCs/>
          <w:sz w:val="24"/>
        </w:rPr>
        <w:t>5、法律法规或监管机关另有规定的，从其规定。</w:t>
      </w:r>
    </w:p>
    <w:p>
      <w:pPr>
        <w:autoSpaceDE w:val="0"/>
        <w:autoSpaceDN w:val="0"/>
        <w:adjustRightInd w:val="0"/>
        <w:spacing w:line="360" w:lineRule="auto"/>
        <w:ind w:firstLine="480" w:firstLineChars="200"/>
        <w:rPr>
          <w:bCs/>
          <w:sz w:val="24"/>
        </w:rPr>
      </w:pPr>
      <w:r>
        <w:rPr>
          <w:rFonts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pPr>
        <w:spacing w:line="360" w:lineRule="auto"/>
        <w:ind w:firstLine="480" w:firstLineChars="200"/>
        <w:rPr>
          <w:bCs/>
          <w:sz w:val="24"/>
          <w:szCs w:val="24"/>
        </w:rPr>
      </w:pPr>
      <w:r>
        <w:rPr>
          <w:rFonts w:hint="eastAsia"/>
          <w:bCs/>
          <w:sz w:val="24"/>
          <w:szCs w:val="24"/>
        </w:rPr>
        <w:t>（二）</w:t>
      </w:r>
      <w:r>
        <w:rPr>
          <w:bCs/>
          <w:sz w:val="24"/>
          <w:szCs w:val="24"/>
        </w:rPr>
        <w:t>收益分配方案</w:t>
      </w:r>
    </w:p>
    <w:p>
      <w:pPr>
        <w:spacing w:line="360" w:lineRule="auto"/>
        <w:ind w:firstLine="540" w:firstLineChars="225"/>
        <w:rPr>
          <w:bCs/>
          <w:sz w:val="24"/>
          <w:szCs w:val="24"/>
        </w:rPr>
      </w:pPr>
      <w:r>
        <w:rPr>
          <w:bCs/>
          <w:sz w:val="24"/>
        </w:rPr>
        <w:t>基金收益分配方案中应载明截止收益分配基准日的可供分配利润、基金收益分配对象、分配时间、分配数额及比例、分配方式等内容。</w:t>
      </w:r>
    </w:p>
    <w:p>
      <w:pPr>
        <w:spacing w:line="360" w:lineRule="auto"/>
        <w:ind w:firstLine="480" w:firstLineChars="200"/>
        <w:rPr>
          <w:bCs/>
          <w:sz w:val="24"/>
          <w:szCs w:val="24"/>
        </w:rPr>
      </w:pPr>
      <w:r>
        <w:rPr>
          <w:rFonts w:hint="eastAsia"/>
          <w:bCs/>
          <w:sz w:val="24"/>
          <w:szCs w:val="24"/>
        </w:rPr>
        <w:t>（三）</w:t>
      </w:r>
      <w:r>
        <w:rPr>
          <w:bCs/>
          <w:sz w:val="24"/>
          <w:szCs w:val="24"/>
        </w:rPr>
        <w:t>收益分配方案的确定、公告与实施</w:t>
      </w:r>
    </w:p>
    <w:p>
      <w:pPr>
        <w:spacing w:line="360" w:lineRule="auto"/>
        <w:ind w:firstLine="480" w:firstLineChars="200"/>
        <w:rPr>
          <w:bCs/>
          <w:sz w:val="24"/>
        </w:rPr>
      </w:pPr>
      <w:r>
        <w:rPr>
          <w:bCs/>
          <w:sz w:val="24"/>
        </w:rPr>
        <w:t>本基金收益分配方案由基金管理人拟定，并由基金托管人复核，</w:t>
      </w:r>
      <w:r>
        <w:rPr>
          <w:rFonts w:hint="eastAsia"/>
          <w:bCs/>
          <w:sz w:val="24"/>
        </w:rPr>
        <w:t>依照《信息披露办法》 的有关规定</w:t>
      </w:r>
      <w:r>
        <w:rPr>
          <w:bCs/>
          <w:sz w:val="24"/>
        </w:rPr>
        <w:t>在规定媒介公告。</w:t>
      </w:r>
    </w:p>
    <w:p>
      <w:pPr>
        <w:spacing w:line="360" w:lineRule="auto"/>
        <w:ind w:firstLine="540" w:firstLineChars="225"/>
        <w:rPr>
          <w:bCs/>
          <w:sz w:val="24"/>
        </w:rPr>
      </w:pPr>
      <w:r>
        <w:rPr>
          <w:rFonts w:hint="eastAsia"/>
          <w:bCs/>
          <w:sz w:val="24"/>
        </w:rPr>
        <w:t>（四</w:t>
      </w:r>
      <w:r>
        <w:rPr>
          <w:bCs/>
          <w:sz w:val="24"/>
        </w:rPr>
        <w:t>）基金收益分配中发生的费用</w:t>
      </w:r>
    </w:p>
    <w:p>
      <w:pPr>
        <w:autoSpaceDE w:val="0"/>
        <w:autoSpaceDN w:val="0"/>
        <w:adjustRightInd w:val="0"/>
        <w:spacing w:line="360" w:lineRule="auto"/>
        <w:ind w:firstLine="480" w:firstLineChars="200"/>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540" w:firstLineChars="225"/>
        <w:rPr>
          <w:bCs/>
          <w:sz w:val="24"/>
        </w:rPr>
      </w:pPr>
      <w:r>
        <w:rPr>
          <w:rFonts w:hint="eastAsia"/>
          <w:bCs/>
          <w:sz w:val="24"/>
        </w:rPr>
        <w:t>（五）、实施侧袋机制期间的收益分配</w:t>
      </w:r>
    </w:p>
    <w:p>
      <w:pPr>
        <w:spacing w:line="360" w:lineRule="auto"/>
        <w:ind w:firstLine="540" w:firstLineChars="225"/>
        <w:rPr>
          <w:bCs/>
          <w:sz w:val="24"/>
        </w:rPr>
      </w:pPr>
      <w:r>
        <w:rPr>
          <w:rFonts w:hint="eastAsia"/>
          <w:bCs/>
          <w:sz w:val="24"/>
        </w:rPr>
        <w:t>本基金实施侧袋机制的，侧袋账户不进行收益分配，详见招募说明书的规定。</w:t>
      </w:r>
    </w:p>
    <w:p>
      <w:pPr>
        <w:autoSpaceDE w:val="0"/>
        <w:autoSpaceDN w:val="0"/>
        <w:adjustRightInd w:val="0"/>
        <w:spacing w:line="360" w:lineRule="auto"/>
        <w:ind w:firstLine="480" w:firstLineChars="200"/>
        <w:rPr>
          <w:bCs/>
          <w:sz w:val="24"/>
          <w:szCs w:val="24"/>
        </w:rPr>
      </w:pPr>
    </w:p>
    <w:p>
      <w:pPr>
        <w:autoSpaceDE w:val="0"/>
        <w:autoSpaceDN w:val="0"/>
        <w:adjustRightInd w:val="0"/>
        <w:spacing w:line="360" w:lineRule="auto"/>
        <w:ind w:firstLine="480" w:firstLineChars="200"/>
        <w:rPr>
          <w:bCs/>
          <w:sz w:val="24"/>
          <w:szCs w:val="24"/>
        </w:rPr>
      </w:pPr>
    </w:p>
    <w:p>
      <w:pPr>
        <w:autoSpaceDE w:val="0"/>
        <w:autoSpaceDN w:val="0"/>
        <w:adjustRightInd w:val="0"/>
        <w:spacing w:line="360" w:lineRule="auto"/>
        <w:ind w:firstLine="482" w:firstLineChars="200"/>
        <w:rPr>
          <w:b/>
          <w:bCs/>
          <w:sz w:val="24"/>
          <w:szCs w:val="24"/>
        </w:rPr>
      </w:pPr>
      <w:r>
        <w:rPr>
          <w:rFonts w:hint="eastAsia"/>
          <w:b/>
          <w:bCs/>
          <w:sz w:val="24"/>
          <w:szCs w:val="24"/>
        </w:rPr>
        <w:t>四、与基金财产管理、运作有关费用的提取、支付方式与比例</w:t>
      </w:r>
    </w:p>
    <w:p>
      <w:pPr>
        <w:autoSpaceDE w:val="0"/>
        <w:autoSpaceDN w:val="0"/>
        <w:adjustRightInd w:val="0"/>
        <w:spacing w:line="360" w:lineRule="auto"/>
        <w:ind w:firstLine="480" w:firstLineChars="200"/>
        <w:rPr>
          <w:bCs/>
          <w:sz w:val="24"/>
          <w:szCs w:val="24"/>
        </w:rPr>
      </w:pPr>
      <w:r>
        <w:rPr>
          <w:bCs/>
          <w:sz w:val="24"/>
          <w:szCs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3</w:t>
      </w:r>
      <w:r>
        <w:rPr>
          <w:bCs/>
          <w:sz w:val="24"/>
        </w:rPr>
        <w:t>、《基金合同》生效后与基金相关的信息披露费用；</w:t>
      </w:r>
    </w:p>
    <w:p>
      <w:pPr>
        <w:spacing w:line="360" w:lineRule="auto"/>
        <w:ind w:firstLine="480" w:firstLineChars="20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rFonts w:hint="eastAsia"/>
          <w:bCs/>
          <w:sz w:val="24"/>
        </w:rPr>
        <w:t>5</w:t>
      </w:r>
      <w:r>
        <w:rPr>
          <w:bCs/>
          <w:sz w:val="24"/>
        </w:rPr>
        <w:t>、基金份额持有人大会费用；</w:t>
      </w:r>
    </w:p>
    <w:p>
      <w:pPr>
        <w:spacing w:line="360" w:lineRule="auto"/>
        <w:ind w:firstLine="480" w:firstLineChars="200"/>
        <w:rPr>
          <w:bCs/>
          <w:sz w:val="24"/>
        </w:rPr>
      </w:pPr>
      <w:r>
        <w:rPr>
          <w:rFonts w:hint="eastAsia"/>
          <w:bCs/>
          <w:sz w:val="24"/>
        </w:rPr>
        <w:t>6</w:t>
      </w:r>
      <w:r>
        <w:rPr>
          <w:bCs/>
          <w:sz w:val="24"/>
        </w:rPr>
        <w:t>、基金的证券、期货交易费用；</w:t>
      </w:r>
    </w:p>
    <w:p>
      <w:pPr>
        <w:spacing w:line="360" w:lineRule="auto"/>
        <w:ind w:firstLine="480" w:firstLineChars="200"/>
        <w:rPr>
          <w:bCs/>
          <w:sz w:val="24"/>
        </w:rPr>
      </w:pPr>
      <w:r>
        <w:rPr>
          <w:rFonts w:hint="eastAsia"/>
          <w:bCs/>
          <w:sz w:val="24"/>
        </w:rPr>
        <w:t>7</w:t>
      </w:r>
      <w:r>
        <w:rPr>
          <w:bCs/>
          <w:sz w:val="24"/>
        </w:rPr>
        <w:t>、基金的银行汇划费用；</w:t>
      </w:r>
    </w:p>
    <w:p>
      <w:pPr>
        <w:spacing w:line="360" w:lineRule="auto"/>
        <w:ind w:firstLine="480" w:firstLineChars="200"/>
        <w:rPr>
          <w:bCs/>
          <w:sz w:val="24"/>
        </w:rPr>
      </w:pPr>
      <w:r>
        <w:rPr>
          <w:rFonts w:hint="eastAsia"/>
          <w:bCs/>
          <w:sz w:val="24"/>
        </w:rPr>
        <w:t>8</w:t>
      </w:r>
      <w:r>
        <w:rPr>
          <w:bCs/>
          <w:sz w:val="24"/>
        </w:rPr>
        <w:t>、</w:t>
      </w:r>
      <w:r>
        <w:rPr>
          <w:rFonts w:hint="eastAsia"/>
          <w:bCs/>
          <w:sz w:val="24"/>
        </w:rPr>
        <w:t>基金相关账户的开户费用和维护费用；</w:t>
      </w:r>
    </w:p>
    <w:p>
      <w:pPr>
        <w:spacing w:line="360" w:lineRule="auto"/>
        <w:ind w:firstLine="480" w:firstLineChars="200"/>
        <w:rPr>
          <w:bCs/>
          <w:sz w:val="24"/>
        </w:rPr>
      </w:pPr>
      <w:r>
        <w:rPr>
          <w:rFonts w:hint="eastAsia"/>
          <w:bCs/>
          <w:sz w:val="24"/>
        </w:rPr>
        <w:t>9</w:t>
      </w:r>
      <w:r>
        <w:rPr>
          <w:bCs/>
          <w:sz w:val="24"/>
        </w:rPr>
        <w:t>、按照国家有关规定和《基金合同》约定，可以在基金财产中列支的其他费用。</w:t>
      </w:r>
    </w:p>
    <w:p>
      <w:pPr>
        <w:spacing w:line="360" w:lineRule="auto"/>
        <w:ind w:firstLine="480" w:firstLineChars="200"/>
        <w:rPr>
          <w:bCs/>
          <w:sz w:val="24"/>
        </w:rPr>
      </w:pPr>
      <w:r>
        <w:rPr>
          <w:rFonts w:hint="eastAsia"/>
          <w:bCs/>
          <w:sz w:val="24"/>
        </w:rPr>
        <w:t>（二）</w:t>
      </w:r>
      <w:r>
        <w:rPr>
          <w:bCs/>
          <w:sz w:val="24"/>
        </w:rPr>
        <w:t>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w:t>
      </w:r>
      <w:r>
        <w:rPr>
          <w:rFonts w:hint="eastAsia"/>
          <w:bCs/>
          <w:sz w:val="24"/>
        </w:rPr>
        <w:t>0.35%</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0.35%</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rFonts w:ascii="宋体" w:hAnsi="宋体"/>
          <w:sz w:val="24"/>
          <w:szCs w:val="24"/>
        </w:rPr>
      </w:pPr>
      <w:r>
        <w:rPr>
          <w:rFonts w:hint="eastAsia"/>
          <w:bCs/>
          <w:sz w:val="24"/>
        </w:rPr>
        <w:t>基金管理费每日计提，按月支付。由基金托管人根据与基金管理人核对一致的财务数据，自动在次月初</w:t>
      </w:r>
      <w:r>
        <w:rPr>
          <w:bCs/>
          <w:sz w:val="24"/>
        </w:rPr>
        <w:t>5</w:t>
      </w:r>
      <w:r>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0.08</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0.08</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rFonts w:ascii="宋体" w:hAnsi="宋体"/>
          <w:sz w:val="24"/>
          <w:szCs w:val="24"/>
        </w:rPr>
      </w:pPr>
      <w:r>
        <w:rPr>
          <w:bCs/>
          <w:sz w:val="24"/>
        </w:rPr>
        <w:t>基金</w:t>
      </w:r>
      <w:r>
        <w:rPr>
          <w:rFonts w:hint="eastAsia"/>
          <w:bCs/>
          <w:sz w:val="24"/>
        </w:rPr>
        <w:t>托管</w:t>
      </w:r>
      <w:r>
        <w:rPr>
          <w:bCs/>
          <w:sz w:val="24"/>
        </w:rPr>
        <w:t>费每日计提，按月支付。由</w:t>
      </w:r>
      <w:r>
        <w:rPr>
          <w:rFonts w:hint="eastAsia"/>
          <w:bCs/>
          <w:sz w:val="24"/>
        </w:rPr>
        <w:t>基金托管人根据与基金管理人核对一致的财务数据，自动在次月初5个工作日内按照指定的账户路径</w:t>
      </w:r>
      <w:r>
        <w:rPr>
          <w:bCs/>
          <w:sz w:val="24"/>
        </w:rPr>
        <w:t>进行支付。若遇法定节假日、休息日等，支付日期顺延。</w:t>
      </w:r>
      <w:r>
        <w:rPr>
          <w:rFonts w:hint="eastAsia"/>
          <w:bCs/>
          <w:sz w:val="24"/>
        </w:rPr>
        <w:t>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一、基金费用的种类中第</w:t>
      </w:r>
      <w:r>
        <w:rPr>
          <w:rFonts w:hint="eastAsia"/>
          <w:bCs/>
          <w:sz w:val="24"/>
        </w:rPr>
        <w:t>3</w:t>
      </w:r>
      <w:r>
        <w:rPr>
          <w:bCs/>
          <w:sz w:val="24"/>
        </w:rPr>
        <w:t>－</w:t>
      </w:r>
      <w:r>
        <w:rPr>
          <w:rFonts w:hint="eastAsia"/>
          <w:bCs/>
          <w:sz w:val="24"/>
        </w:rPr>
        <w:t>9</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rPr>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spacing w:line="360" w:lineRule="auto"/>
        <w:ind w:firstLine="480" w:firstLineChars="200"/>
        <w:rPr>
          <w:bCs/>
          <w:sz w:val="24"/>
          <w:szCs w:val="24"/>
        </w:rPr>
      </w:pPr>
    </w:p>
    <w:p>
      <w:pPr>
        <w:autoSpaceDE w:val="0"/>
        <w:autoSpaceDN w:val="0"/>
        <w:adjustRightInd w:val="0"/>
        <w:spacing w:line="360" w:lineRule="auto"/>
        <w:ind w:firstLine="482" w:firstLineChars="200"/>
        <w:rPr>
          <w:b/>
          <w:bCs/>
          <w:sz w:val="24"/>
          <w:szCs w:val="24"/>
        </w:rPr>
      </w:pPr>
      <w:r>
        <w:rPr>
          <w:rFonts w:hint="eastAsia"/>
          <w:b/>
          <w:bCs/>
          <w:sz w:val="24"/>
          <w:szCs w:val="24"/>
        </w:rPr>
        <w:t>五、基金资产的投资范围和投资限制</w:t>
      </w:r>
    </w:p>
    <w:p>
      <w:pPr>
        <w:autoSpaceDE w:val="0"/>
        <w:autoSpaceDN w:val="0"/>
        <w:adjustRightInd w:val="0"/>
        <w:spacing w:line="360" w:lineRule="auto"/>
        <w:ind w:firstLine="480" w:firstLineChars="200"/>
        <w:rPr>
          <w:bCs/>
          <w:sz w:val="24"/>
          <w:szCs w:val="24"/>
        </w:rPr>
      </w:pPr>
      <w:r>
        <w:rPr>
          <w:rFonts w:hint="eastAsia"/>
          <w:bCs/>
          <w:sz w:val="24"/>
          <w:szCs w:val="24"/>
        </w:rPr>
        <w:t>（一）投资范围</w:t>
      </w:r>
    </w:p>
    <w:p>
      <w:pPr>
        <w:spacing w:line="360" w:lineRule="auto"/>
        <w:ind w:firstLine="480"/>
        <w:rPr>
          <w:bCs/>
          <w:sz w:val="24"/>
        </w:rPr>
      </w:pPr>
      <w:r>
        <w:rPr>
          <w:rFonts w:hint="eastAsia"/>
          <w:bCs/>
          <w:sz w:val="24"/>
        </w:rPr>
        <w:t>本基金的投资范围为具有良好流动性的金融工具，包括债券（包括国债、地方政府债、金融债、企业债、公司债、次级债、可转换债券、可交换债券、分离交易可转债、央行票据、中期票据、短期融资券、超短期融资券等）、股票（包括中小板、创业板及其他中国证监会核准上市的股票）、资产支持证券、银行存款、国债期货、同业存单、债券回购等金融工具，以及法律法规或中国证监会允许基金投资的其他金融工具（但须符合中国证监会相关规定）。</w:t>
      </w:r>
    </w:p>
    <w:p>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基金的投资组合比例为：债券的投资比例不低于基金资产的80%</w:t>
      </w:r>
      <w:r>
        <w:rPr>
          <w:bCs/>
          <w:sz w:val="24"/>
        </w:rPr>
        <w:t>，</w:t>
      </w:r>
      <w:r>
        <w:rPr>
          <w:rFonts w:hint="eastAsia"/>
          <w:bCs/>
          <w:sz w:val="24"/>
        </w:rPr>
        <w:t>但应开放期流动性需要，为保护基金份额持有人利益，在每次开放期前一个月、开放期及开放期结束后一个月的期间内，基金投资不受上述比例限制；开放期内，本基金每个交易日日终在扣除国债期货合约需缴纳的交易保证金后，持有现金或者到期日在一年以内的政府债券投资比例不低于基金资产净值的5%，其中现金不包括结算备付金、存出保证金、应收申购款等</w:t>
      </w:r>
      <w:r>
        <w:rPr>
          <w:bCs/>
          <w:sz w:val="24"/>
        </w:rPr>
        <w:t>，</w:t>
      </w:r>
      <w:r>
        <w:rPr>
          <w:rFonts w:hint="eastAsia"/>
          <w:bCs/>
          <w:sz w:val="24"/>
        </w:rPr>
        <w:t>在封闭期内，本基金不受上述5%的限制。</w:t>
      </w:r>
    </w:p>
    <w:p>
      <w:pPr>
        <w:spacing w:line="360" w:lineRule="auto"/>
        <w:ind w:firstLine="480" w:firstLineChars="200"/>
        <w:rPr>
          <w:bCs/>
          <w:sz w:val="24"/>
        </w:rPr>
      </w:pPr>
      <w:r>
        <w:rPr>
          <w:rFonts w:hint="eastAsia"/>
          <w:bCs/>
          <w:sz w:val="24"/>
        </w:rPr>
        <w:t>（二）</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（1）本基金对债券的投资比例不低于基金资产的80%，但应开放期流动性需要，为保护基金份额持有人利益，在每次开放期前一个月、开放期及开放期结束后一个月的期间内，基金投资不受上述比例限制；</w:t>
      </w:r>
    </w:p>
    <w:p>
      <w:pPr>
        <w:spacing w:line="360" w:lineRule="auto"/>
        <w:ind w:firstLine="480" w:firstLineChars="200"/>
        <w:rPr>
          <w:bCs/>
          <w:sz w:val="24"/>
        </w:rPr>
      </w:pPr>
      <w:r>
        <w:rPr>
          <w:rFonts w:hint="eastAsia"/>
          <w:bCs/>
          <w:sz w:val="24"/>
        </w:rPr>
        <w:t>（2）开放期内，本基金每个交易日日终在扣除国债期货合约需缴纳的交易保证金后，现金或到期日在一年以内的政府债券的投资比例不低于基金资产净值的5%，其中现金不包括结算备付金、存出保证金、应收申购款等</w:t>
      </w:r>
      <w:r>
        <w:rPr>
          <w:bCs/>
          <w:sz w:val="24"/>
        </w:rPr>
        <w:t>，</w:t>
      </w:r>
      <w:r>
        <w:rPr>
          <w:rFonts w:hint="eastAsia"/>
          <w:bCs/>
          <w:sz w:val="24"/>
        </w:rPr>
        <w:t>在封闭期内，本基金不受上述5%的限制；</w:t>
      </w:r>
    </w:p>
    <w:p>
      <w:pPr>
        <w:spacing w:line="360" w:lineRule="auto"/>
        <w:ind w:firstLine="480" w:firstLineChars="200"/>
        <w:rPr>
          <w:bCs/>
          <w:sz w:val="24"/>
        </w:rPr>
      </w:pPr>
      <w:r>
        <w:rPr>
          <w:rFonts w:hint="eastAsia"/>
          <w:bCs/>
          <w:sz w:val="24"/>
        </w:rPr>
        <w:t>（3）本基金持有一家公司发行的证券，其市值不超过基金资产净值的10%；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（4）本基金管理人管理的全部基金持有一家公司发行的证券，不超过该证券的10%；</w:t>
      </w:r>
    </w:p>
    <w:p>
      <w:pPr>
        <w:spacing w:line="360" w:lineRule="auto"/>
        <w:ind w:firstLine="480" w:firstLineChars="200"/>
        <w:rPr>
          <w:bCs/>
          <w:sz w:val="24"/>
        </w:rPr>
      </w:pPr>
      <w:r>
        <w:rPr>
          <w:rFonts w:hint="eastAsia"/>
          <w:bCs/>
          <w:sz w:val="24"/>
        </w:rPr>
        <w:t>（</w:t>
      </w:r>
      <w:r>
        <w:rPr>
          <w:bCs/>
          <w:sz w:val="24"/>
        </w:rPr>
        <w:t>5</w:t>
      </w:r>
      <w:r>
        <w:rPr>
          <w:rFonts w:hint="eastAsia"/>
          <w:bCs/>
          <w:sz w:val="24"/>
        </w:rPr>
        <w:t>）本基金进入全国银行间同业市场进行债券回购的资金余额不得超过基金资产净值的40%，在全国银行间同业市场中的债券回购最长期限为1年，债券回购到期后不展期；</w:t>
      </w:r>
    </w:p>
    <w:p>
      <w:pPr>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）本基金持有的全部资产支持证券，其市值不得超过基金资产净值的20%；</w:t>
      </w:r>
    </w:p>
    <w:p>
      <w:pPr>
        <w:spacing w:line="360" w:lineRule="auto"/>
        <w:ind w:firstLine="480" w:firstLineChars="200"/>
        <w:rPr>
          <w:bCs/>
          <w:sz w:val="24"/>
        </w:rPr>
      </w:pPr>
      <w:r>
        <w:rPr>
          <w:rFonts w:hint="eastAsia"/>
          <w:bCs/>
          <w:sz w:val="24"/>
        </w:rPr>
        <w:t>（</w:t>
      </w:r>
      <w:r>
        <w:rPr>
          <w:bCs/>
          <w:sz w:val="24"/>
        </w:rPr>
        <w:t>8</w:t>
      </w:r>
      <w:r>
        <w:rPr>
          <w:rFonts w:hint="eastAsia"/>
          <w:bCs/>
          <w:sz w:val="24"/>
        </w:rPr>
        <w:t>）本基金持有的同一(指同一信用级别)资产支持证券的比例，不得超过该资产支持证券规模的10%；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10</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w:t>
      </w:r>
      <w:r>
        <w:rPr>
          <w:bCs/>
          <w:sz w:val="24"/>
        </w:rPr>
        <w:t>11</w:t>
      </w:r>
      <w:r>
        <w:rPr>
          <w:rFonts w:hint="eastAsia"/>
          <w:bCs/>
          <w:sz w:val="24"/>
        </w:rPr>
        <w:t>）封闭期内，本基金资产总值不得超过基金资产净值的200%；开放期内，基金资产总值不得超过基金资产净值的140%；</w:t>
      </w:r>
    </w:p>
    <w:p>
      <w:pPr>
        <w:spacing w:line="360" w:lineRule="auto"/>
        <w:ind w:firstLine="480" w:firstLineChars="200"/>
        <w:rPr>
          <w:bCs/>
          <w:sz w:val="24"/>
        </w:rPr>
      </w:pPr>
      <w:r>
        <w:rPr>
          <w:rFonts w:hint="eastAsia"/>
          <w:bCs/>
          <w:sz w:val="24"/>
        </w:rPr>
        <w:t>（</w:t>
      </w:r>
      <w:r>
        <w:rPr>
          <w:bCs/>
          <w:sz w:val="24"/>
        </w:rPr>
        <w:t>12</w:t>
      </w:r>
      <w:r>
        <w:rPr>
          <w:rFonts w:hint="eastAsia"/>
          <w:bCs/>
          <w:sz w:val="24"/>
        </w:rPr>
        <w:t>）本基金参与国债期货交易，需遵守下列投资比例限制：</w:t>
      </w:r>
    </w:p>
    <w:p>
      <w:pPr>
        <w:spacing w:line="360" w:lineRule="auto"/>
        <w:ind w:firstLine="480" w:firstLineChars="200"/>
        <w:rPr>
          <w:bCs/>
          <w:sz w:val="24"/>
        </w:rPr>
      </w:pPr>
      <w:r>
        <w:rPr>
          <w:rFonts w:hint="eastAsia"/>
          <w:bCs/>
          <w:sz w:val="24"/>
        </w:rPr>
        <w:t>1）基金在任何交易日日终，持有的买入国债期货合约价值，不得超过基金资产净值的15%；</w:t>
      </w:r>
    </w:p>
    <w:p>
      <w:pPr>
        <w:spacing w:line="360" w:lineRule="auto"/>
        <w:ind w:firstLine="480" w:firstLineChars="200"/>
        <w:rPr>
          <w:bCs/>
          <w:sz w:val="24"/>
        </w:rPr>
      </w:pPr>
      <w:r>
        <w:rPr>
          <w:rFonts w:hint="eastAsia"/>
          <w:bCs/>
          <w:sz w:val="24"/>
        </w:rPr>
        <w:t>2）基金在任何交易日日终，持有的卖出国债期货合约价值不得超过基金持有的债券总市值的30%；</w:t>
      </w:r>
    </w:p>
    <w:p>
      <w:pPr>
        <w:spacing w:line="360" w:lineRule="auto"/>
        <w:ind w:firstLine="480" w:firstLineChars="200"/>
        <w:rPr>
          <w:bCs/>
          <w:sz w:val="24"/>
        </w:rPr>
      </w:pPr>
      <w:r>
        <w:rPr>
          <w:rFonts w:hint="eastAsia"/>
          <w:bCs/>
          <w:sz w:val="24"/>
        </w:rPr>
        <w:t>3）基金在任何交易日内交易（不包括平仓）的国债期货合约的成交金额不得超过上一交易日基金资产净值的30%；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4）基金所持有的债券（不含到期日在一年以内的政府债券）市值和买入、卖出国债期货合约价值，合计（轧差计算）应当符合基金合同关于债券投资比例的有关约定。</w:t>
      </w:r>
    </w:p>
    <w:p>
      <w:pPr>
        <w:spacing w:line="360" w:lineRule="auto"/>
        <w:ind w:firstLine="480" w:firstLineChars="200"/>
        <w:rPr>
          <w:bCs/>
          <w:sz w:val="24"/>
        </w:rPr>
      </w:pPr>
      <w:r>
        <w:rPr>
          <w:rFonts w:hint="eastAsia"/>
          <w:bCs/>
          <w:sz w:val="24"/>
        </w:rPr>
        <w:t>（1</w:t>
      </w:r>
      <w:r>
        <w:rPr>
          <w:bCs/>
          <w:sz w:val="24"/>
        </w:rPr>
        <w:t>3</w:t>
      </w:r>
      <w:r>
        <w:rPr>
          <w:rFonts w:hint="eastAsia"/>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（1</w:t>
      </w:r>
      <w:r>
        <w:rPr>
          <w:bCs/>
          <w:sz w:val="24"/>
        </w:rPr>
        <w:t>4</w:t>
      </w:r>
      <w:r>
        <w:rPr>
          <w:rFonts w:hint="eastAsia"/>
          <w:bCs/>
          <w:sz w:val="24"/>
        </w:rPr>
        <w:t>）开放期内，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spacing w:line="360" w:lineRule="auto"/>
        <w:ind w:firstLine="480" w:firstLineChars="200"/>
        <w:rPr>
          <w:bCs/>
          <w:sz w:val="24"/>
        </w:rPr>
      </w:pPr>
      <w:r>
        <w:rPr>
          <w:rFonts w:hint="eastAsia"/>
          <w:bCs/>
          <w:sz w:val="24"/>
        </w:rPr>
        <w:t>（1</w:t>
      </w:r>
      <w:r>
        <w:rPr>
          <w:bCs/>
          <w:sz w:val="24"/>
        </w:rPr>
        <w:t>5</w:t>
      </w:r>
      <w:r>
        <w:rPr>
          <w:rFonts w:hint="eastAsia"/>
          <w:bCs/>
          <w:sz w:val="24"/>
        </w:rPr>
        <w:t>）开放期内，本基金主动投资于流动性受限资产的市值合计不得超过该基金资产净值的15%；</w:t>
      </w:r>
      <w:r>
        <w:rPr>
          <w:rFonts w:hint="eastAsia" w:ascii="宋体" w:hAnsi="宋体"/>
          <w:kern w:val="0"/>
          <w:sz w:val="24"/>
        </w:rPr>
        <w:t>封闭期内不受此限</w:t>
      </w:r>
      <w:r>
        <w:rPr>
          <w:rFonts w:ascii="宋体" w:hAnsi="宋体"/>
          <w:kern w:val="0"/>
          <w:sz w:val="24"/>
        </w:rPr>
        <w:t>。</w:t>
      </w:r>
    </w:p>
    <w:p>
      <w:pPr>
        <w:spacing w:line="360" w:lineRule="auto"/>
        <w:ind w:firstLine="480" w:firstLineChars="200"/>
        <w:rPr>
          <w:bCs/>
          <w:sz w:val="24"/>
        </w:rPr>
      </w:pPr>
      <w:r>
        <w:rPr>
          <w:rFonts w:hint="eastAsia"/>
          <w:bCs/>
          <w:sz w:val="24"/>
        </w:rPr>
        <w:t>因证券</w:t>
      </w:r>
      <w:r>
        <w:rPr>
          <w:bCs/>
          <w:sz w:val="24"/>
        </w:rPr>
        <w:t>／</w:t>
      </w:r>
      <w:r>
        <w:rPr>
          <w:rFonts w:hint="eastAsia"/>
          <w:bCs/>
          <w:sz w:val="24"/>
        </w:rPr>
        <w:t>期货市场波动、上市公司股票停牌、基金规模变动等基金管理人之外的因素致使基金不符合前款所规定比例限制的，基金管理人不得主动新增流动性受限资产的投资；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6</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17</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除上述第（2）、（1</w:t>
      </w:r>
      <w:r>
        <w:rPr>
          <w:bCs/>
          <w:sz w:val="24"/>
        </w:rPr>
        <w:t>0</w:t>
      </w:r>
      <w:r>
        <w:rPr>
          <w:rFonts w:hint="eastAsia"/>
          <w:bCs/>
          <w:sz w:val="24"/>
        </w:rPr>
        <w:t>）、（1</w:t>
      </w:r>
      <w:r>
        <w:rPr>
          <w:bCs/>
          <w:sz w:val="24"/>
        </w:rPr>
        <w:t>5</w:t>
      </w:r>
      <w:r>
        <w:rPr>
          <w:rFonts w:hint="eastAsia"/>
          <w:bCs/>
          <w:sz w:val="24"/>
        </w:rPr>
        <w:t>）、（1</w:t>
      </w:r>
      <w:r>
        <w:rPr>
          <w:bCs/>
          <w:sz w:val="24"/>
        </w:rPr>
        <w:t>6</w:t>
      </w:r>
      <w:r>
        <w:rPr>
          <w:rFonts w:hint="eastAsia"/>
          <w:bCs/>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w:t>
      </w:r>
      <w:r>
        <w:rPr>
          <w:bCs/>
          <w:sz w:val="24"/>
        </w:rPr>
        <w:t>证监会另有规定的除外；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pacing w:line="360" w:lineRule="auto"/>
        <w:ind w:firstLine="480" w:firstLineChars="200"/>
        <w:rPr>
          <w:bCs/>
          <w:sz w:val="24"/>
        </w:rPr>
      </w:pPr>
      <w:r>
        <w:rPr>
          <w:rFonts w:hint="eastAsia"/>
          <w:bCs/>
          <w:sz w:val="24"/>
        </w:rPr>
        <w:t>3、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pPr>
        <w:autoSpaceDE w:val="0"/>
        <w:autoSpaceDN w:val="0"/>
        <w:adjustRightInd w:val="0"/>
        <w:spacing w:line="360" w:lineRule="auto"/>
        <w:ind w:firstLine="480" w:firstLineChars="200"/>
        <w:rPr>
          <w:bCs/>
          <w:sz w:val="24"/>
        </w:rPr>
      </w:pPr>
      <w:r>
        <w:rPr>
          <w:rFonts w:hint="eastAsia"/>
          <w:bCs/>
          <w:sz w:val="24"/>
        </w:rPr>
        <w:t>（三）侧袋机制的实施和投资运作安排</w:t>
      </w:r>
    </w:p>
    <w:p>
      <w:pPr>
        <w:autoSpaceDE w:val="0"/>
        <w:autoSpaceDN w:val="0"/>
        <w:adjustRightInd w:val="0"/>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autoSpaceDE w:val="0"/>
        <w:autoSpaceDN w:val="0"/>
        <w:adjustRightInd w:val="0"/>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autoSpaceDE w:val="0"/>
        <w:autoSpaceDN w:val="0"/>
        <w:adjustRightInd w:val="0"/>
        <w:spacing w:line="360" w:lineRule="auto"/>
        <w:ind w:firstLine="480" w:firstLineChars="200"/>
        <w:rPr>
          <w:bCs/>
          <w:sz w:val="24"/>
        </w:rPr>
      </w:pPr>
    </w:p>
    <w:p>
      <w:pPr>
        <w:spacing w:before="312" w:beforeLines="100" w:line="360" w:lineRule="auto"/>
        <w:ind w:firstLine="482" w:firstLineChars="200"/>
        <w:rPr>
          <w:b/>
          <w:bCs/>
          <w:sz w:val="24"/>
        </w:rPr>
      </w:pPr>
      <w:r>
        <w:rPr>
          <w:rFonts w:hint="eastAsia"/>
          <w:b/>
          <w:bCs/>
          <w:sz w:val="24"/>
        </w:rPr>
        <w:t>六、基金资产净值的计算方法和公告方式</w:t>
      </w:r>
    </w:p>
    <w:p>
      <w:pPr>
        <w:numPr>
          <w:ilvl w:val="0"/>
          <w:numId w:val="4"/>
        </w:numPr>
        <w:spacing w:line="360" w:lineRule="auto"/>
        <w:ind w:left="0" w:firstLine="480" w:firstLineChars="200"/>
        <w:rPr>
          <w:bCs/>
          <w:sz w:val="24"/>
        </w:rPr>
      </w:pPr>
      <w:r>
        <w:rPr>
          <w:bCs/>
          <w:sz w:val="24"/>
        </w:rPr>
        <w:t>基金资产净值</w:t>
      </w:r>
      <w:r>
        <w:rPr>
          <w:rFonts w:hint="eastAsia"/>
          <w:bCs/>
          <w:sz w:val="24"/>
        </w:rPr>
        <w:t>的计算方式</w:t>
      </w:r>
    </w:p>
    <w:p>
      <w:pPr>
        <w:autoSpaceDE w:val="0"/>
        <w:autoSpaceDN w:val="0"/>
        <w:adjustRightInd w:val="0"/>
        <w:spacing w:line="360" w:lineRule="auto"/>
        <w:ind w:firstLine="480" w:firstLineChars="200"/>
        <w:rPr>
          <w:bCs/>
          <w:sz w:val="24"/>
        </w:rPr>
      </w:pPr>
      <w:r>
        <w:rPr>
          <w:bCs/>
          <w:sz w:val="24"/>
        </w:rPr>
        <w:t>基金资产净值是指基金资产总值减去基金负债后的价值。</w:t>
      </w:r>
    </w:p>
    <w:p>
      <w:pPr>
        <w:autoSpaceDE w:val="0"/>
        <w:autoSpaceDN w:val="0"/>
        <w:adjustRightInd w:val="0"/>
        <w:spacing w:line="360" w:lineRule="auto"/>
        <w:ind w:firstLine="480" w:firstLineChars="200"/>
        <w:rPr>
          <w:bCs/>
          <w:sz w:val="24"/>
        </w:rPr>
      </w:pPr>
      <w:r>
        <w:rPr>
          <w:rFonts w:hint="eastAsia"/>
          <w:bCs/>
          <w:sz w:val="24"/>
        </w:rPr>
        <w:t>（二）</w:t>
      </w:r>
      <w:r>
        <w:rPr>
          <w:rFonts w:hint="eastAsia"/>
          <w:bCs/>
          <w:sz w:val="24"/>
        </w:rPr>
        <w:tab/>
      </w:r>
      <w:r>
        <w:rPr>
          <w:rFonts w:hint="eastAsia"/>
          <w:bCs/>
          <w:sz w:val="24"/>
        </w:rPr>
        <w:t>基金净值信息的公告方式</w:t>
      </w:r>
    </w:p>
    <w:p>
      <w:pPr>
        <w:spacing w:line="360" w:lineRule="auto"/>
        <w:ind w:firstLine="480" w:firstLineChars="200"/>
        <w:rPr>
          <w:bCs/>
          <w:sz w:val="24"/>
        </w:rPr>
      </w:pPr>
      <w:r>
        <w:rPr>
          <w:bCs/>
          <w:sz w:val="24"/>
        </w:rPr>
        <w:t>《基金合同》生效后，</w:t>
      </w:r>
      <w:r>
        <w:rPr>
          <w:rFonts w:hint="eastAsia"/>
          <w:bCs/>
          <w:sz w:val="24"/>
        </w:rPr>
        <w:t>在封闭期内</w:t>
      </w:r>
      <w:r>
        <w:rPr>
          <w:bCs/>
          <w:sz w:val="24"/>
        </w:rPr>
        <w:t>，基金管理人应当至少每周</w:t>
      </w:r>
      <w:r>
        <w:rPr>
          <w:rFonts w:hint="eastAsia"/>
          <w:bCs/>
          <w:sz w:val="24"/>
        </w:rPr>
        <w:t>在规定网站披露</w:t>
      </w:r>
      <w:r>
        <w:rPr>
          <w:bCs/>
          <w:sz w:val="24"/>
        </w:rPr>
        <w:t>一次基金</w:t>
      </w:r>
      <w:r>
        <w:rPr>
          <w:rFonts w:hint="eastAsia"/>
          <w:bCs/>
          <w:sz w:val="24"/>
        </w:rPr>
        <w:t>份额</w:t>
      </w:r>
      <w:r>
        <w:rPr>
          <w:bCs/>
          <w:sz w:val="24"/>
        </w:rPr>
        <w:t>净值和</w:t>
      </w:r>
      <w:r>
        <w:rPr>
          <w:rFonts w:hint="eastAsia"/>
          <w:bCs/>
          <w:sz w:val="24"/>
        </w:rPr>
        <w:t>基金份额累计净值</w:t>
      </w:r>
      <w:r>
        <w:rPr>
          <w:bCs/>
          <w:sz w:val="24"/>
        </w:rPr>
        <w:t>。</w:t>
      </w:r>
    </w:p>
    <w:p>
      <w:pPr>
        <w:spacing w:line="360" w:lineRule="auto"/>
        <w:ind w:firstLine="480" w:firstLineChars="200"/>
        <w:rPr>
          <w:bCs/>
          <w:sz w:val="24"/>
        </w:rPr>
      </w:pPr>
      <w:r>
        <w:rPr>
          <w:bCs/>
          <w:sz w:val="24"/>
        </w:rPr>
        <w:t>在</w:t>
      </w:r>
      <w:r>
        <w:rPr>
          <w:rFonts w:hint="eastAsia"/>
          <w:bCs/>
          <w:sz w:val="24"/>
        </w:rPr>
        <w:t>开放期内</w:t>
      </w:r>
      <w:r>
        <w:rPr>
          <w:bCs/>
          <w:sz w:val="24"/>
        </w:rPr>
        <w:t>，基金管理人应当在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披露开放日的基金份额净值和基金份额累计净值。</w:t>
      </w:r>
    </w:p>
    <w:p>
      <w:pPr>
        <w:autoSpaceDE w:val="0"/>
        <w:autoSpaceDN w:val="0"/>
        <w:adjustRightInd w:val="0"/>
        <w:spacing w:line="360" w:lineRule="auto"/>
        <w:ind w:firstLine="480" w:firstLineChars="20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pPr>
        <w:autoSpaceDE w:val="0"/>
        <w:autoSpaceDN w:val="0"/>
        <w:adjustRightInd w:val="0"/>
        <w:spacing w:line="360" w:lineRule="auto"/>
        <w:ind w:firstLine="480" w:firstLineChars="200"/>
        <w:rPr>
          <w:bCs/>
          <w:sz w:val="24"/>
        </w:rPr>
      </w:pPr>
    </w:p>
    <w:p>
      <w:pPr>
        <w:spacing w:before="312" w:beforeLines="100" w:line="360" w:lineRule="auto"/>
        <w:ind w:firstLine="482" w:firstLineChars="200"/>
        <w:rPr>
          <w:b/>
          <w:bCs/>
          <w:sz w:val="24"/>
        </w:rPr>
      </w:pPr>
      <w:r>
        <w:rPr>
          <w:rFonts w:hint="eastAsia"/>
          <w:b/>
          <w:bCs/>
          <w:sz w:val="24"/>
        </w:rPr>
        <w:t>七、基金合同解除和终止的事由、程序以及基金财产的清算方式</w:t>
      </w:r>
    </w:p>
    <w:p>
      <w:pPr>
        <w:spacing w:line="360" w:lineRule="auto"/>
        <w:ind w:left="480"/>
        <w:rPr>
          <w:bCs/>
          <w:sz w:val="24"/>
        </w:rPr>
      </w:pPr>
      <w:r>
        <w:rPr>
          <w:rFonts w:hint="eastAsia"/>
          <w:bCs/>
          <w:sz w:val="24"/>
        </w:rPr>
        <w:t>（一）《</w:t>
      </w:r>
      <w:r>
        <w:rPr>
          <w:bCs/>
          <w:sz w:val="24"/>
        </w:rPr>
        <w:t>基金</w:t>
      </w:r>
      <w:r>
        <w:rPr>
          <w:rFonts w:hint="eastAsia"/>
          <w:bCs/>
          <w:sz w:val="24"/>
        </w:rPr>
        <w:t>合同》的变更</w:t>
      </w:r>
    </w:p>
    <w:p>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w:t>
      </w:r>
      <w:r>
        <w:rPr>
          <w:rFonts w:hint="eastAsia"/>
          <w:bCs/>
          <w:sz w:val="24"/>
        </w:rPr>
        <w:t>关于基金合同变更的基金份额持有人大会决议自生效后方可执行，自决议生效后两日内在规定媒介公告。</w:t>
      </w:r>
    </w:p>
    <w:p>
      <w:pPr>
        <w:spacing w:line="360" w:lineRule="auto"/>
        <w:ind w:firstLine="480" w:firstLineChars="200"/>
        <w:rPr>
          <w:bCs/>
          <w:sz w:val="24"/>
        </w:rPr>
      </w:pPr>
      <w:r>
        <w:rPr>
          <w:rFonts w:hint="eastAsia"/>
          <w:bCs/>
          <w:sz w:val="24"/>
        </w:rPr>
        <w:t>（</w:t>
      </w:r>
      <w:r>
        <w:rPr>
          <w:bCs/>
          <w:sz w:val="24"/>
        </w:rPr>
        <w:t>二</w:t>
      </w:r>
      <w:r>
        <w:rPr>
          <w:rFonts w:hint="eastAsia"/>
          <w:bCs/>
          <w:sz w:val="24"/>
        </w:rPr>
        <w:t>）</w:t>
      </w:r>
      <w:r>
        <w:rPr>
          <w:bCs/>
          <w:sz w:val="24"/>
        </w:rPr>
        <w:t>《基金合同》的终止</w:t>
      </w:r>
      <w:r>
        <w:rPr>
          <w:rFonts w:hint="eastAsia"/>
          <w:bCs/>
          <w:sz w:val="24"/>
        </w:rPr>
        <w:t>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3、《基金合同》生效满三年之日，基金资产净值低于2亿元的；</w:t>
      </w:r>
    </w:p>
    <w:p>
      <w:pPr>
        <w:spacing w:line="360" w:lineRule="auto"/>
        <w:ind w:firstLine="480" w:firstLineChars="200"/>
        <w:rPr>
          <w:bCs/>
          <w:sz w:val="24"/>
        </w:rPr>
      </w:pPr>
      <w:r>
        <w:rPr>
          <w:rFonts w:hint="eastAsia"/>
          <w:bCs/>
          <w:sz w:val="24"/>
        </w:rPr>
        <w:t>4</w:t>
      </w:r>
      <w:r>
        <w:rPr>
          <w:bCs/>
          <w:sz w:val="24"/>
        </w:rPr>
        <w:t>、《基金合同》约定的其他情形；</w:t>
      </w:r>
    </w:p>
    <w:p>
      <w:pPr>
        <w:spacing w:line="360" w:lineRule="auto"/>
        <w:ind w:firstLine="480" w:firstLineChars="200"/>
        <w:rPr>
          <w:bCs/>
          <w:sz w:val="24"/>
        </w:rPr>
      </w:pPr>
      <w:r>
        <w:rPr>
          <w:rFonts w:hint="eastAsia"/>
          <w:bCs/>
          <w:sz w:val="24"/>
        </w:rPr>
        <w:t>5</w:t>
      </w:r>
      <w:r>
        <w:rPr>
          <w:bCs/>
          <w:sz w:val="24"/>
        </w:rPr>
        <w:t>、相关法律法规和中国证监会规定的其他情况。</w:t>
      </w:r>
    </w:p>
    <w:p>
      <w:pPr>
        <w:spacing w:line="360" w:lineRule="auto"/>
        <w:ind w:firstLine="480" w:firstLineChars="200"/>
        <w:rPr>
          <w:bCs/>
          <w:sz w:val="24"/>
        </w:rPr>
      </w:pPr>
      <w:r>
        <w:rPr>
          <w:rFonts w:hint="eastAsia"/>
          <w:bCs/>
          <w:sz w:val="24"/>
        </w:rPr>
        <w:t>（</w:t>
      </w:r>
      <w:r>
        <w:rPr>
          <w:bCs/>
          <w:sz w:val="24"/>
        </w:rPr>
        <w:t>三</w:t>
      </w:r>
      <w:r>
        <w:rPr>
          <w:rFonts w:hint="eastAsia"/>
          <w:bCs/>
          <w:sz w:val="24"/>
        </w:rPr>
        <w:t>）</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5、基金财产清算的期限为不超过</w:t>
      </w:r>
      <w:r>
        <w:rPr>
          <w:rFonts w:hint="eastAsia"/>
          <w:bCs/>
          <w:sz w:val="24"/>
        </w:rPr>
        <w:t>6</w:t>
      </w:r>
      <w:r>
        <w:rPr>
          <w:bCs/>
          <w:sz w:val="24"/>
        </w:rPr>
        <w:t>个月</w:t>
      </w:r>
      <w:r>
        <w:rPr>
          <w:rFonts w:hint="eastAsia"/>
          <w:bCs/>
          <w:sz w:val="24"/>
        </w:rPr>
        <w:t>，但因本基金所持证券的流动性受到限制而不能及时变现的，清算期限相应顺延。</w:t>
      </w:r>
    </w:p>
    <w:p>
      <w:pPr>
        <w:spacing w:line="360" w:lineRule="auto"/>
        <w:ind w:firstLine="480" w:firstLineChars="200"/>
        <w:rPr>
          <w:bCs/>
          <w:sz w:val="24"/>
        </w:rPr>
      </w:pPr>
      <w:r>
        <w:rPr>
          <w:rFonts w:hint="eastAsia"/>
          <w:bCs/>
          <w:sz w:val="24"/>
        </w:rPr>
        <w:t>（四）</w:t>
      </w:r>
      <w:r>
        <w:rPr>
          <w:bCs/>
          <w:sz w:val="24"/>
        </w:rPr>
        <w:t>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rFonts w:hint="eastAsia"/>
          <w:bCs/>
          <w:sz w:val="24"/>
        </w:rPr>
        <w:t>（五）</w:t>
      </w:r>
      <w:r>
        <w:rPr>
          <w:bCs/>
          <w:sz w:val="24"/>
        </w:rPr>
        <w:t>基金财产清算剩余资产的分配</w:t>
      </w:r>
    </w:p>
    <w:p>
      <w:pPr>
        <w:spacing w:line="360" w:lineRule="auto"/>
        <w:ind w:firstLine="480" w:firstLineChars="200"/>
        <w:rPr>
          <w:bCs/>
          <w:sz w:val="24"/>
        </w:rPr>
      </w:pPr>
      <w:bookmarkStart w:id="481" w:name="_GoBack"/>
      <w:bookmarkEnd w:id="481"/>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rFonts w:hint="eastAsia"/>
          <w:bCs/>
          <w:sz w:val="24"/>
        </w:rPr>
        <w:t>（六）</w:t>
      </w:r>
      <w:r>
        <w:rPr>
          <w:bCs/>
          <w:sz w:val="24"/>
        </w:rPr>
        <w:t>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rFonts w:hint="eastAsia"/>
          <w:bCs/>
          <w:sz w:val="24"/>
        </w:rPr>
        <w:t>（七）</w:t>
      </w:r>
      <w:r>
        <w:rPr>
          <w:bCs/>
          <w:sz w:val="24"/>
        </w:rPr>
        <w:t>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spacing w:line="360" w:lineRule="auto"/>
        <w:ind w:firstLine="482" w:firstLineChars="200"/>
        <w:rPr>
          <w:b/>
          <w:bCs/>
          <w:sz w:val="24"/>
        </w:rPr>
      </w:pPr>
      <w:r>
        <w:rPr>
          <w:rFonts w:hint="eastAsia"/>
          <w:b/>
          <w:bCs/>
          <w:sz w:val="24"/>
        </w:rPr>
        <w:t>八、争议的处理</w:t>
      </w:r>
    </w:p>
    <w:p>
      <w:pPr>
        <w:spacing w:line="360" w:lineRule="auto"/>
        <w:ind w:firstLine="480" w:firstLineChars="200"/>
        <w:rPr>
          <w:bCs/>
          <w:sz w:val="24"/>
        </w:rPr>
      </w:pPr>
      <w:r>
        <w:rPr>
          <w:rFonts w:hint="eastAsia"/>
          <w:bCs/>
          <w:sz w:val="24"/>
        </w:rPr>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w:t>
      </w:r>
      <w:r>
        <w:rPr>
          <w:rFonts w:hint="eastAsia" w:ascii="宋体"/>
          <w:sz w:val="24"/>
        </w:rPr>
        <w:t>除非仲裁裁决另有决定，</w:t>
      </w:r>
      <w:r>
        <w:rPr>
          <w:rFonts w:hint="eastAsia"/>
          <w:bCs/>
          <w:sz w:val="24"/>
        </w:rPr>
        <w:t>仲裁费</w:t>
      </w:r>
      <w:r>
        <w:rPr>
          <w:bCs/>
          <w:sz w:val="24"/>
        </w:rPr>
        <w:t>和律师费</w:t>
      </w:r>
      <w:r>
        <w:rPr>
          <w:rFonts w:hint="eastAsia"/>
          <w:bCs/>
          <w:sz w:val="24"/>
        </w:rPr>
        <w:t>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w:t>
      </w:r>
      <w:r>
        <w:rPr>
          <w:bCs/>
          <w:sz w:val="24"/>
        </w:rPr>
        <w:t>约</w:t>
      </w:r>
      <w:r>
        <w:rPr>
          <w:rFonts w:hint="eastAsia"/>
          <w:bCs/>
          <w:sz w:val="24"/>
        </w:rPr>
        <w:t>定的义务，维护基金份额持有人的合法权益。</w:t>
      </w:r>
    </w:p>
    <w:p>
      <w:pPr>
        <w:spacing w:line="360" w:lineRule="auto"/>
        <w:ind w:firstLine="480" w:firstLineChars="200"/>
        <w:rPr>
          <w:bCs/>
          <w:sz w:val="24"/>
        </w:rPr>
      </w:pPr>
      <w:r>
        <w:rPr>
          <w:rFonts w:hint="eastAsia"/>
          <w:bCs/>
          <w:sz w:val="24"/>
        </w:rPr>
        <w:t>《基金合同》受中国（为本基金合同之目的，不包括香港特别行政区、澳门特别行政区和台湾地区）法律管辖。</w:t>
      </w:r>
    </w:p>
    <w:p>
      <w:pPr>
        <w:spacing w:line="360" w:lineRule="auto"/>
        <w:ind w:firstLine="480" w:firstLineChars="200"/>
        <w:rPr>
          <w:bCs/>
          <w:sz w:val="24"/>
        </w:rPr>
      </w:pPr>
    </w:p>
    <w:p>
      <w:pPr>
        <w:spacing w:line="360" w:lineRule="auto"/>
        <w:ind w:firstLine="482" w:firstLineChars="200"/>
        <w:rPr>
          <w:b/>
          <w:bCs/>
          <w:sz w:val="24"/>
        </w:rPr>
      </w:pPr>
      <w:r>
        <w:rPr>
          <w:rFonts w:hint="eastAsia"/>
          <w:b/>
          <w:bCs/>
          <w:sz w:val="24"/>
        </w:rPr>
        <w:t>九、基金合同存放地和投资者取得合同的方式</w:t>
      </w:r>
    </w:p>
    <w:p>
      <w:pPr>
        <w:autoSpaceDE w:val="0"/>
        <w:autoSpaceDN w:val="0"/>
        <w:adjustRightInd w:val="0"/>
        <w:spacing w:line="360" w:lineRule="auto"/>
        <w:ind w:firstLine="480" w:firstLineChars="200"/>
        <w:rPr>
          <w:bCs/>
          <w:sz w:val="24"/>
        </w:rPr>
      </w:pPr>
      <w:r>
        <w:rPr>
          <w:bCs/>
          <w:sz w:val="24"/>
        </w:rPr>
        <w:t>《基金合同》正本一式六份，除上报有关监管机构一式二份外，基金管理人、基金托管人各持有二份，每份具有同等的法律效力。</w:t>
      </w:r>
    </w:p>
    <w:p>
      <w:pPr>
        <w:autoSpaceDE w:val="0"/>
        <w:autoSpaceDN w:val="0"/>
        <w:adjustRightInd w:val="0"/>
        <w:spacing w:line="360" w:lineRule="auto"/>
        <w:ind w:firstLine="480" w:firstLineChars="200"/>
        <w:rPr>
          <w:bCs/>
          <w:sz w:val="24"/>
        </w:rPr>
      </w:pPr>
      <w:r>
        <w:rPr>
          <w:bCs/>
          <w:sz w:val="24"/>
        </w:rPr>
        <w:t>《基金合同》可印制成册，供投资者在基金管理人、基金托管人、销售机构的办公场所和营业场所查阅。</w:t>
      </w:r>
    </w:p>
    <w:p>
      <w:pPr>
        <w:autoSpaceDE w:val="0"/>
        <w:autoSpaceDN w:val="0"/>
        <w:adjustRightInd w:val="0"/>
        <w:spacing w:line="360" w:lineRule="auto"/>
        <w:rPr>
          <w:bCs/>
          <w:sz w:val="24"/>
        </w:rPr>
      </w:pPr>
    </w:p>
    <w:p>
      <w:pPr>
        <w:spacing w:after="120" w:line="360" w:lineRule="auto"/>
        <w:rPr>
          <w:bCs/>
          <w:sz w:val="24"/>
        </w:rPr>
      </w:pPr>
    </w:p>
    <w:p>
      <w:pPr>
        <w:widowControl/>
        <w:jc w:val="left"/>
        <w:rPr>
          <w:bCs/>
          <w:sz w:val="24"/>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jc w:val="left"/>
      </w:pPr>
    </w:p>
    <w:sectPr>
      <w:headerReference r:id="rId6" w:type="default"/>
      <w:footerReference r:id="rId7"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5B9BD5" w:themeColor="accent1" w:sz="12" w:space="11"/>
      </w:pBdr>
      <w:tabs>
        <w:tab w:val="left" w:pos="622"/>
      </w:tabs>
      <w:jc w:val="center"/>
      <w:rPr>
        <w:rFonts w:asciiTheme="majorHAnsi" w:hAnsiTheme="majorHAnsi" w:eastAsiaTheme="majorEastAsia" w:cstheme="majorBidi"/>
        <w:color w:val="2E75B6" w:themeColor="accent1" w:themeShade="BF"/>
        <w:szCs w:val="21"/>
      </w:rPr>
    </w:pPr>
    <w:r>
      <w:rPr>
        <w:rFonts w:asciiTheme="majorHAnsi" w:hAnsiTheme="majorHAnsi" w:eastAsiaTheme="majorEastAsia" w:cstheme="majorBidi"/>
        <w:color w:val="2E75B6" w:themeColor="accent1" w:themeShade="BF"/>
        <w:szCs w:val="21"/>
      </w:rPr>
      <w:fldChar w:fldCharType="begin"/>
    </w:r>
    <w:r>
      <w:rPr>
        <w:rFonts w:asciiTheme="majorHAnsi" w:hAnsiTheme="majorHAnsi" w:eastAsiaTheme="majorEastAsia" w:cstheme="majorBidi"/>
        <w:color w:val="2E75B6" w:themeColor="accent1" w:themeShade="BF"/>
        <w:szCs w:val="21"/>
      </w:rPr>
      <w:instrText xml:space="preserve">PAGE   \* MERGEFORMAT</w:instrText>
    </w:r>
    <w:r>
      <w:rPr>
        <w:rFonts w:asciiTheme="majorHAnsi" w:hAnsiTheme="majorHAnsi" w:eastAsiaTheme="majorEastAsia" w:cstheme="majorBidi"/>
        <w:color w:val="2E75B6" w:themeColor="accent1" w:themeShade="BF"/>
        <w:szCs w:val="21"/>
      </w:rPr>
      <w:fldChar w:fldCharType="separate"/>
    </w:r>
    <w:r>
      <w:rPr>
        <w:rFonts w:asciiTheme="majorHAnsi" w:hAnsiTheme="majorHAnsi" w:eastAsiaTheme="majorEastAsia" w:cstheme="majorBidi"/>
        <w:color w:val="2E75B6" w:themeColor="accent1" w:themeShade="BF"/>
        <w:szCs w:val="21"/>
        <w:lang w:val="zh-CN"/>
      </w:rPr>
      <w:t>10</w:t>
    </w:r>
    <w:r>
      <w:rPr>
        <w:rFonts w:asciiTheme="majorHAnsi" w:hAnsiTheme="majorHAnsi" w:eastAsiaTheme="majorEastAsia" w:cstheme="majorBidi"/>
        <w:color w:val="2E75B6" w:themeColor="accent1" w:themeShade="BF"/>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LargeGap" w:color="auto" w:sz="24" w:space="10"/>
      </w:pBdr>
      <w:tabs>
        <w:tab w:val="right" w:pos="8280"/>
      </w:tabs>
      <w:wordWrap w:val="0"/>
      <w:adjustRightInd w:val="0"/>
      <w:jc w:val="both"/>
      <w:rPr>
        <w:rFonts w:hint="eastAsia" w:eastAsia="宋体"/>
        <w:lang w:eastAsia="zh-CN"/>
      </w:rPr>
    </w:pPr>
    <w:r>
      <w:rPr>
        <w:rFonts w:hint="eastAsia"/>
        <w:color w:val="000000"/>
      </w:rPr>
      <w:t>太平</w:t>
    </w:r>
    <w:r>
      <w:rPr>
        <w:rFonts w:hint="eastAsia"/>
      </w:rPr>
      <w:t>证券投资基金                             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LargeGap" w:color="auto" w:sz="24" w:space="10"/>
      </w:pBdr>
      <w:tabs>
        <w:tab w:val="right" w:pos="8280"/>
      </w:tabs>
      <w:wordWrap w:val="0"/>
      <w:adjustRightInd w:val="0"/>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chineseCounting"/>
      <w:suff w:val="nothing"/>
      <w:lvlText w:val="%1、"/>
      <w:lvlJc w:val="left"/>
    </w:lvl>
  </w:abstractNum>
  <w:abstractNum w:abstractNumId="1">
    <w:nsid w:val="042B229D"/>
    <w:multiLevelType w:val="multilevel"/>
    <w:tmpl w:val="042B229D"/>
    <w:lvl w:ilvl="0" w:tentative="0">
      <w:start w:val="1"/>
      <w:numFmt w:val="japaneseCounting"/>
      <w:lvlText w:val="%1、"/>
      <w:lvlJc w:val="left"/>
      <w:pPr>
        <w:ind w:left="960" w:hanging="480"/>
      </w:pPr>
      <w:rPr>
        <w:rFonts w:ascii="Times New Roman" w:hAnsi="Times New Roman" w:eastAsia="宋体" w:cs="Times New Roman"/>
      </w:rPr>
    </w:lvl>
    <w:lvl w:ilvl="1" w:tentative="0">
      <w:start w:val="1"/>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5A011D9"/>
    <w:multiLevelType w:val="multilevel"/>
    <w:tmpl w:val="55A011D9"/>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D666995"/>
    <w:multiLevelType w:val="multilevel"/>
    <w:tmpl w:val="5D666995"/>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49"/>
    <w:rsid w:val="00001F35"/>
    <w:rsid w:val="00002CB6"/>
    <w:rsid w:val="000128DF"/>
    <w:rsid w:val="00013780"/>
    <w:rsid w:val="00014B47"/>
    <w:rsid w:val="00015F02"/>
    <w:rsid w:val="000178F5"/>
    <w:rsid w:val="00020A18"/>
    <w:rsid w:val="00026CD4"/>
    <w:rsid w:val="00026F92"/>
    <w:rsid w:val="00027831"/>
    <w:rsid w:val="000300CA"/>
    <w:rsid w:val="000303DE"/>
    <w:rsid w:val="000328B2"/>
    <w:rsid w:val="000328DA"/>
    <w:rsid w:val="00032A4E"/>
    <w:rsid w:val="00033103"/>
    <w:rsid w:val="00033D2F"/>
    <w:rsid w:val="000345DB"/>
    <w:rsid w:val="00034BD5"/>
    <w:rsid w:val="00034C6A"/>
    <w:rsid w:val="00034EB3"/>
    <w:rsid w:val="00035477"/>
    <w:rsid w:val="00035586"/>
    <w:rsid w:val="000356F3"/>
    <w:rsid w:val="0003621B"/>
    <w:rsid w:val="00037B41"/>
    <w:rsid w:val="000404B6"/>
    <w:rsid w:val="00042139"/>
    <w:rsid w:val="00042B65"/>
    <w:rsid w:val="000434BA"/>
    <w:rsid w:val="00043574"/>
    <w:rsid w:val="000452BC"/>
    <w:rsid w:val="00045BA3"/>
    <w:rsid w:val="00050387"/>
    <w:rsid w:val="00051E42"/>
    <w:rsid w:val="00052250"/>
    <w:rsid w:val="00054758"/>
    <w:rsid w:val="00055633"/>
    <w:rsid w:val="00055E83"/>
    <w:rsid w:val="00057549"/>
    <w:rsid w:val="00057D30"/>
    <w:rsid w:val="00060957"/>
    <w:rsid w:val="00061554"/>
    <w:rsid w:val="000639F5"/>
    <w:rsid w:val="000640E7"/>
    <w:rsid w:val="0006479C"/>
    <w:rsid w:val="00065A01"/>
    <w:rsid w:val="00070ACC"/>
    <w:rsid w:val="000711E6"/>
    <w:rsid w:val="0007122D"/>
    <w:rsid w:val="0007137C"/>
    <w:rsid w:val="000727E1"/>
    <w:rsid w:val="00072B09"/>
    <w:rsid w:val="000756C4"/>
    <w:rsid w:val="00075BD9"/>
    <w:rsid w:val="00075CAA"/>
    <w:rsid w:val="0007613D"/>
    <w:rsid w:val="000778BB"/>
    <w:rsid w:val="00077976"/>
    <w:rsid w:val="0008630A"/>
    <w:rsid w:val="00086381"/>
    <w:rsid w:val="000901D2"/>
    <w:rsid w:val="00090FC6"/>
    <w:rsid w:val="0009135A"/>
    <w:rsid w:val="00091EC3"/>
    <w:rsid w:val="000927D0"/>
    <w:rsid w:val="000950DA"/>
    <w:rsid w:val="00096A6C"/>
    <w:rsid w:val="000A0B2D"/>
    <w:rsid w:val="000A1111"/>
    <w:rsid w:val="000A3A99"/>
    <w:rsid w:val="000A6A15"/>
    <w:rsid w:val="000B1191"/>
    <w:rsid w:val="000B270A"/>
    <w:rsid w:val="000B3F5F"/>
    <w:rsid w:val="000B4C8F"/>
    <w:rsid w:val="000B529C"/>
    <w:rsid w:val="000B7B7F"/>
    <w:rsid w:val="000C1CE0"/>
    <w:rsid w:val="000C330F"/>
    <w:rsid w:val="000C3526"/>
    <w:rsid w:val="000C46AF"/>
    <w:rsid w:val="000C4DAD"/>
    <w:rsid w:val="000C51F5"/>
    <w:rsid w:val="000C56FA"/>
    <w:rsid w:val="000C579B"/>
    <w:rsid w:val="000C6529"/>
    <w:rsid w:val="000C6A60"/>
    <w:rsid w:val="000D0B80"/>
    <w:rsid w:val="000D11A9"/>
    <w:rsid w:val="000D11E1"/>
    <w:rsid w:val="000D23CD"/>
    <w:rsid w:val="000D2AB4"/>
    <w:rsid w:val="000D2B70"/>
    <w:rsid w:val="000D3A97"/>
    <w:rsid w:val="000D3D48"/>
    <w:rsid w:val="000D54B6"/>
    <w:rsid w:val="000D58F5"/>
    <w:rsid w:val="000D6C22"/>
    <w:rsid w:val="000E0999"/>
    <w:rsid w:val="000E1412"/>
    <w:rsid w:val="000E14FA"/>
    <w:rsid w:val="000E2D89"/>
    <w:rsid w:val="000E3DD2"/>
    <w:rsid w:val="000E5118"/>
    <w:rsid w:val="000E7750"/>
    <w:rsid w:val="000F0704"/>
    <w:rsid w:val="000F1543"/>
    <w:rsid w:val="000F239F"/>
    <w:rsid w:val="000F25E1"/>
    <w:rsid w:val="000F3918"/>
    <w:rsid w:val="000F4F08"/>
    <w:rsid w:val="000F58F6"/>
    <w:rsid w:val="000F6289"/>
    <w:rsid w:val="0010253C"/>
    <w:rsid w:val="00102FA9"/>
    <w:rsid w:val="00103B19"/>
    <w:rsid w:val="00104B0C"/>
    <w:rsid w:val="00105368"/>
    <w:rsid w:val="001059A6"/>
    <w:rsid w:val="00106129"/>
    <w:rsid w:val="00106375"/>
    <w:rsid w:val="00107623"/>
    <w:rsid w:val="001079B5"/>
    <w:rsid w:val="001135A9"/>
    <w:rsid w:val="00115B86"/>
    <w:rsid w:val="00115B93"/>
    <w:rsid w:val="001165AF"/>
    <w:rsid w:val="00116BEF"/>
    <w:rsid w:val="00117344"/>
    <w:rsid w:val="00122C6D"/>
    <w:rsid w:val="0012351A"/>
    <w:rsid w:val="0012468E"/>
    <w:rsid w:val="001255E5"/>
    <w:rsid w:val="00130C50"/>
    <w:rsid w:val="00131436"/>
    <w:rsid w:val="00131AC3"/>
    <w:rsid w:val="00131DC9"/>
    <w:rsid w:val="00132323"/>
    <w:rsid w:val="001329DE"/>
    <w:rsid w:val="00132C4B"/>
    <w:rsid w:val="00135D69"/>
    <w:rsid w:val="00142975"/>
    <w:rsid w:val="00143454"/>
    <w:rsid w:val="00143633"/>
    <w:rsid w:val="001445A1"/>
    <w:rsid w:val="00145019"/>
    <w:rsid w:val="0014596A"/>
    <w:rsid w:val="00147360"/>
    <w:rsid w:val="00147E92"/>
    <w:rsid w:val="00151606"/>
    <w:rsid w:val="00151A51"/>
    <w:rsid w:val="00152550"/>
    <w:rsid w:val="00153C16"/>
    <w:rsid w:val="00155FE5"/>
    <w:rsid w:val="0015687F"/>
    <w:rsid w:val="00163ABA"/>
    <w:rsid w:val="00170EDF"/>
    <w:rsid w:val="001710A6"/>
    <w:rsid w:val="00172A27"/>
    <w:rsid w:val="00173656"/>
    <w:rsid w:val="001737CF"/>
    <w:rsid w:val="00173912"/>
    <w:rsid w:val="00174B0A"/>
    <w:rsid w:val="00176011"/>
    <w:rsid w:val="001761D9"/>
    <w:rsid w:val="00176A4C"/>
    <w:rsid w:val="00177081"/>
    <w:rsid w:val="00180296"/>
    <w:rsid w:val="0018162A"/>
    <w:rsid w:val="00181BBF"/>
    <w:rsid w:val="0018249D"/>
    <w:rsid w:val="001837C7"/>
    <w:rsid w:val="0018397C"/>
    <w:rsid w:val="0018564D"/>
    <w:rsid w:val="0018688D"/>
    <w:rsid w:val="00190A51"/>
    <w:rsid w:val="00191235"/>
    <w:rsid w:val="001A0852"/>
    <w:rsid w:val="001A1262"/>
    <w:rsid w:val="001A162B"/>
    <w:rsid w:val="001A1C11"/>
    <w:rsid w:val="001A25F8"/>
    <w:rsid w:val="001A3A55"/>
    <w:rsid w:val="001A491E"/>
    <w:rsid w:val="001A4BBD"/>
    <w:rsid w:val="001A5378"/>
    <w:rsid w:val="001A5463"/>
    <w:rsid w:val="001B0F7F"/>
    <w:rsid w:val="001B415B"/>
    <w:rsid w:val="001B7712"/>
    <w:rsid w:val="001C08C0"/>
    <w:rsid w:val="001C0AFD"/>
    <w:rsid w:val="001C12C3"/>
    <w:rsid w:val="001C2C7A"/>
    <w:rsid w:val="001C502E"/>
    <w:rsid w:val="001C6749"/>
    <w:rsid w:val="001D0E8B"/>
    <w:rsid w:val="001D1AD4"/>
    <w:rsid w:val="001D1B33"/>
    <w:rsid w:val="001D2788"/>
    <w:rsid w:val="001D3E22"/>
    <w:rsid w:val="001D3F4A"/>
    <w:rsid w:val="001D4D52"/>
    <w:rsid w:val="001D5859"/>
    <w:rsid w:val="001D5D2B"/>
    <w:rsid w:val="001D6166"/>
    <w:rsid w:val="001D6A26"/>
    <w:rsid w:val="001E21C6"/>
    <w:rsid w:val="001E2AE1"/>
    <w:rsid w:val="001E2E4F"/>
    <w:rsid w:val="001E450A"/>
    <w:rsid w:val="001E6D8C"/>
    <w:rsid w:val="001E7677"/>
    <w:rsid w:val="001E7A39"/>
    <w:rsid w:val="001F0985"/>
    <w:rsid w:val="001F09B4"/>
    <w:rsid w:val="001F09D1"/>
    <w:rsid w:val="001F2ACB"/>
    <w:rsid w:val="001F3A55"/>
    <w:rsid w:val="001F545B"/>
    <w:rsid w:val="001F5F59"/>
    <w:rsid w:val="001F5FEA"/>
    <w:rsid w:val="001F6757"/>
    <w:rsid w:val="001F6F45"/>
    <w:rsid w:val="002007B7"/>
    <w:rsid w:val="0020136F"/>
    <w:rsid w:val="002017FB"/>
    <w:rsid w:val="002021E5"/>
    <w:rsid w:val="00202A9A"/>
    <w:rsid w:val="00202E30"/>
    <w:rsid w:val="00204433"/>
    <w:rsid w:val="002046A3"/>
    <w:rsid w:val="00205313"/>
    <w:rsid w:val="00210A6C"/>
    <w:rsid w:val="00210BD8"/>
    <w:rsid w:val="0021236B"/>
    <w:rsid w:val="0021436B"/>
    <w:rsid w:val="00216F5B"/>
    <w:rsid w:val="002179DA"/>
    <w:rsid w:val="002218C0"/>
    <w:rsid w:val="00222183"/>
    <w:rsid w:val="00223902"/>
    <w:rsid w:val="00224B99"/>
    <w:rsid w:val="0022582B"/>
    <w:rsid w:val="00226260"/>
    <w:rsid w:val="002267DA"/>
    <w:rsid w:val="0022757E"/>
    <w:rsid w:val="0023479C"/>
    <w:rsid w:val="0023616E"/>
    <w:rsid w:val="0023653D"/>
    <w:rsid w:val="00237E84"/>
    <w:rsid w:val="00240BF8"/>
    <w:rsid w:val="00241645"/>
    <w:rsid w:val="002417E0"/>
    <w:rsid w:val="00242ED1"/>
    <w:rsid w:val="00243044"/>
    <w:rsid w:val="00243BA9"/>
    <w:rsid w:val="00244B7E"/>
    <w:rsid w:val="00244D9B"/>
    <w:rsid w:val="00246865"/>
    <w:rsid w:val="00246B63"/>
    <w:rsid w:val="00246D7B"/>
    <w:rsid w:val="0025193C"/>
    <w:rsid w:val="00252078"/>
    <w:rsid w:val="002535D9"/>
    <w:rsid w:val="00254DB3"/>
    <w:rsid w:val="002566D7"/>
    <w:rsid w:val="00256783"/>
    <w:rsid w:val="00256C50"/>
    <w:rsid w:val="0025716B"/>
    <w:rsid w:val="00260614"/>
    <w:rsid w:val="002607C3"/>
    <w:rsid w:val="00260AC8"/>
    <w:rsid w:val="002627B2"/>
    <w:rsid w:val="002636E4"/>
    <w:rsid w:val="00264733"/>
    <w:rsid w:val="00265974"/>
    <w:rsid w:val="002727FF"/>
    <w:rsid w:val="00274B5B"/>
    <w:rsid w:val="002750B8"/>
    <w:rsid w:val="00275438"/>
    <w:rsid w:val="00276D72"/>
    <w:rsid w:val="00277006"/>
    <w:rsid w:val="00280942"/>
    <w:rsid w:val="0028096F"/>
    <w:rsid w:val="00280AB8"/>
    <w:rsid w:val="00281744"/>
    <w:rsid w:val="002845F4"/>
    <w:rsid w:val="00285D42"/>
    <w:rsid w:val="00290464"/>
    <w:rsid w:val="00292C94"/>
    <w:rsid w:val="00294AC5"/>
    <w:rsid w:val="002963EC"/>
    <w:rsid w:val="002A4F6D"/>
    <w:rsid w:val="002A504B"/>
    <w:rsid w:val="002A5118"/>
    <w:rsid w:val="002A5AB4"/>
    <w:rsid w:val="002A5B1D"/>
    <w:rsid w:val="002A649F"/>
    <w:rsid w:val="002A668B"/>
    <w:rsid w:val="002A6866"/>
    <w:rsid w:val="002A6ED4"/>
    <w:rsid w:val="002A7692"/>
    <w:rsid w:val="002B0A86"/>
    <w:rsid w:val="002B396F"/>
    <w:rsid w:val="002B3EB7"/>
    <w:rsid w:val="002B3FC2"/>
    <w:rsid w:val="002B4B25"/>
    <w:rsid w:val="002B4BF4"/>
    <w:rsid w:val="002B7244"/>
    <w:rsid w:val="002C1756"/>
    <w:rsid w:val="002C20CB"/>
    <w:rsid w:val="002C2C8B"/>
    <w:rsid w:val="002C3F3A"/>
    <w:rsid w:val="002C453B"/>
    <w:rsid w:val="002C4BDA"/>
    <w:rsid w:val="002C75D3"/>
    <w:rsid w:val="002D0590"/>
    <w:rsid w:val="002D14F2"/>
    <w:rsid w:val="002D1FE6"/>
    <w:rsid w:val="002D2111"/>
    <w:rsid w:val="002D3B9D"/>
    <w:rsid w:val="002D5A50"/>
    <w:rsid w:val="002D632E"/>
    <w:rsid w:val="002D6A0F"/>
    <w:rsid w:val="002D6F37"/>
    <w:rsid w:val="002D712B"/>
    <w:rsid w:val="002D7AF2"/>
    <w:rsid w:val="002D7CFF"/>
    <w:rsid w:val="002E12E1"/>
    <w:rsid w:val="002E16BE"/>
    <w:rsid w:val="002E1BB4"/>
    <w:rsid w:val="002E256A"/>
    <w:rsid w:val="002E257B"/>
    <w:rsid w:val="002E2ED3"/>
    <w:rsid w:val="002E34E3"/>
    <w:rsid w:val="002E36C8"/>
    <w:rsid w:val="002E6654"/>
    <w:rsid w:val="002E6C8A"/>
    <w:rsid w:val="002E7FEE"/>
    <w:rsid w:val="002F0831"/>
    <w:rsid w:val="002F0B83"/>
    <w:rsid w:val="002F1434"/>
    <w:rsid w:val="002F1665"/>
    <w:rsid w:val="002F294A"/>
    <w:rsid w:val="002F3E81"/>
    <w:rsid w:val="002F43B2"/>
    <w:rsid w:val="002F62C1"/>
    <w:rsid w:val="002F75E5"/>
    <w:rsid w:val="002F7D74"/>
    <w:rsid w:val="00302365"/>
    <w:rsid w:val="00302F2E"/>
    <w:rsid w:val="00303315"/>
    <w:rsid w:val="003033ED"/>
    <w:rsid w:val="00303636"/>
    <w:rsid w:val="003037D7"/>
    <w:rsid w:val="00304333"/>
    <w:rsid w:val="00304782"/>
    <w:rsid w:val="00306009"/>
    <w:rsid w:val="00310C95"/>
    <w:rsid w:val="00313B5A"/>
    <w:rsid w:val="00314B53"/>
    <w:rsid w:val="00314DB5"/>
    <w:rsid w:val="0031578A"/>
    <w:rsid w:val="00316107"/>
    <w:rsid w:val="0031633B"/>
    <w:rsid w:val="003168BB"/>
    <w:rsid w:val="003179A5"/>
    <w:rsid w:val="003207A1"/>
    <w:rsid w:val="00323028"/>
    <w:rsid w:val="003230B1"/>
    <w:rsid w:val="003232C9"/>
    <w:rsid w:val="003234EA"/>
    <w:rsid w:val="00324299"/>
    <w:rsid w:val="00330E2E"/>
    <w:rsid w:val="00331128"/>
    <w:rsid w:val="0033533B"/>
    <w:rsid w:val="003374F7"/>
    <w:rsid w:val="00341BD9"/>
    <w:rsid w:val="00341E7B"/>
    <w:rsid w:val="0034215F"/>
    <w:rsid w:val="00342798"/>
    <w:rsid w:val="00344086"/>
    <w:rsid w:val="00347B5F"/>
    <w:rsid w:val="00347B6C"/>
    <w:rsid w:val="00351861"/>
    <w:rsid w:val="00351983"/>
    <w:rsid w:val="003526CF"/>
    <w:rsid w:val="0035545B"/>
    <w:rsid w:val="00356EBF"/>
    <w:rsid w:val="00362459"/>
    <w:rsid w:val="003664B3"/>
    <w:rsid w:val="00370387"/>
    <w:rsid w:val="00370FEC"/>
    <w:rsid w:val="00371A75"/>
    <w:rsid w:val="00374FD9"/>
    <w:rsid w:val="003757FF"/>
    <w:rsid w:val="00376A58"/>
    <w:rsid w:val="0038011D"/>
    <w:rsid w:val="00380EDE"/>
    <w:rsid w:val="00384357"/>
    <w:rsid w:val="00384F1A"/>
    <w:rsid w:val="003851B1"/>
    <w:rsid w:val="00386395"/>
    <w:rsid w:val="00386F4A"/>
    <w:rsid w:val="0038778C"/>
    <w:rsid w:val="0039044C"/>
    <w:rsid w:val="00391FB7"/>
    <w:rsid w:val="00392363"/>
    <w:rsid w:val="00393C23"/>
    <w:rsid w:val="003944AC"/>
    <w:rsid w:val="003962F2"/>
    <w:rsid w:val="003972E8"/>
    <w:rsid w:val="003A25C7"/>
    <w:rsid w:val="003A3C8B"/>
    <w:rsid w:val="003A51E8"/>
    <w:rsid w:val="003A604B"/>
    <w:rsid w:val="003B05DD"/>
    <w:rsid w:val="003B0AE3"/>
    <w:rsid w:val="003B23F0"/>
    <w:rsid w:val="003B2E50"/>
    <w:rsid w:val="003B3D90"/>
    <w:rsid w:val="003B5B1C"/>
    <w:rsid w:val="003B5DA0"/>
    <w:rsid w:val="003B6793"/>
    <w:rsid w:val="003C290C"/>
    <w:rsid w:val="003C2F31"/>
    <w:rsid w:val="003C39C5"/>
    <w:rsid w:val="003C4C16"/>
    <w:rsid w:val="003C68A6"/>
    <w:rsid w:val="003C6E25"/>
    <w:rsid w:val="003C7A9E"/>
    <w:rsid w:val="003D136F"/>
    <w:rsid w:val="003D1B98"/>
    <w:rsid w:val="003D28BD"/>
    <w:rsid w:val="003D2B1D"/>
    <w:rsid w:val="003D3911"/>
    <w:rsid w:val="003D5209"/>
    <w:rsid w:val="003D6A81"/>
    <w:rsid w:val="003D6FBF"/>
    <w:rsid w:val="003D71ED"/>
    <w:rsid w:val="003E1870"/>
    <w:rsid w:val="003E1F05"/>
    <w:rsid w:val="003E30B0"/>
    <w:rsid w:val="003E3619"/>
    <w:rsid w:val="003E3B8B"/>
    <w:rsid w:val="003E3BDD"/>
    <w:rsid w:val="003E4E73"/>
    <w:rsid w:val="003E6895"/>
    <w:rsid w:val="003E6D11"/>
    <w:rsid w:val="003E6D94"/>
    <w:rsid w:val="003E789A"/>
    <w:rsid w:val="003F1A12"/>
    <w:rsid w:val="003F1C71"/>
    <w:rsid w:val="003F315D"/>
    <w:rsid w:val="003F3580"/>
    <w:rsid w:val="003F3923"/>
    <w:rsid w:val="003F3D73"/>
    <w:rsid w:val="003F4B1C"/>
    <w:rsid w:val="003F4E03"/>
    <w:rsid w:val="003F6C13"/>
    <w:rsid w:val="003F7A3D"/>
    <w:rsid w:val="0040028D"/>
    <w:rsid w:val="004004DC"/>
    <w:rsid w:val="004007CF"/>
    <w:rsid w:val="00401F4B"/>
    <w:rsid w:val="00404B1A"/>
    <w:rsid w:val="00405575"/>
    <w:rsid w:val="00405914"/>
    <w:rsid w:val="00405D8A"/>
    <w:rsid w:val="00406D1A"/>
    <w:rsid w:val="0040756F"/>
    <w:rsid w:val="004110F4"/>
    <w:rsid w:val="00411F4C"/>
    <w:rsid w:val="004133FC"/>
    <w:rsid w:val="004134F7"/>
    <w:rsid w:val="004136C3"/>
    <w:rsid w:val="00413997"/>
    <w:rsid w:val="00416720"/>
    <w:rsid w:val="00416A43"/>
    <w:rsid w:val="00417147"/>
    <w:rsid w:val="00417AB7"/>
    <w:rsid w:val="00421FB1"/>
    <w:rsid w:val="00423426"/>
    <w:rsid w:val="00423884"/>
    <w:rsid w:val="00423E86"/>
    <w:rsid w:val="00425990"/>
    <w:rsid w:val="00426842"/>
    <w:rsid w:val="0042697D"/>
    <w:rsid w:val="00427F91"/>
    <w:rsid w:val="0043012F"/>
    <w:rsid w:val="0043165F"/>
    <w:rsid w:val="00433E1A"/>
    <w:rsid w:val="00435550"/>
    <w:rsid w:val="00435A0B"/>
    <w:rsid w:val="00436368"/>
    <w:rsid w:val="00437141"/>
    <w:rsid w:val="00441E74"/>
    <w:rsid w:val="00453BC6"/>
    <w:rsid w:val="00453F31"/>
    <w:rsid w:val="0045523C"/>
    <w:rsid w:val="00455D75"/>
    <w:rsid w:val="00461663"/>
    <w:rsid w:val="004640DA"/>
    <w:rsid w:val="00464C46"/>
    <w:rsid w:val="0046551B"/>
    <w:rsid w:val="004736CA"/>
    <w:rsid w:val="00474B0C"/>
    <w:rsid w:val="00474D14"/>
    <w:rsid w:val="004756BE"/>
    <w:rsid w:val="0047645B"/>
    <w:rsid w:val="004769E8"/>
    <w:rsid w:val="00483DE5"/>
    <w:rsid w:val="00487995"/>
    <w:rsid w:val="0049153E"/>
    <w:rsid w:val="00491EC9"/>
    <w:rsid w:val="00492427"/>
    <w:rsid w:val="004933E7"/>
    <w:rsid w:val="004941AF"/>
    <w:rsid w:val="00495540"/>
    <w:rsid w:val="0049609D"/>
    <w:rsid w:val="00496F71"/>
    <w:rsid w:val="00497154"/>
    <w:rsid w:val="004974C9"/>
    <w:rsid w:val="00497D3A"/>
    <w:rsid w:val="004A0ED9"/>
    <w:rsid w:val="004A0FAD"/>
    <w:rsid w:val="004A2459"/>
    <w:rsid w:val="004A36EC"/>
    <w:rsid w:val="004A50F4"/>
    <w:rsid w:val="004A5867"/>
    <w:rsid w:val="004A5F46"/>
    <w:rsid w:val="004A6E31"/>
    <w:rsid w:val="004B033E"/>
    <w:rsid w:val="004B26D1"/>
    <w:rsid w:val="004B3269"/>
    <w:rsid w:val="004B3663"/>
    <w:rsid w:val="004B36B9"/>
    <w:rsid w:val="004B3D90"/>
    <w:rsid w:val="004B54EF"/>
    <w:rsid w:val="004B6FFA"/>
    <w:rsid w:val="004C0BAF"/>
    <w:rsid w:val="004C0FEF"/>
    <w:rsid w:val="004C17C6"/>
    <w:rsid w:val="004C189F"/>
    <w:rsid w:val="004C44AF"/>
    <w:rsid w:val="004C539B"/>
    <w:rsid w:val="004C5BBC"/>
    <w:rsid w:val="004C6731"/>
    <w:rsid w:val="004D2AEC"/>
    <w:rsid w:val="004D31C6"/>
    <w:rsid w:val="004D3656"/>
    <w:rsid w:val="004D3AEB"/>
    <w:rsid w:val="004D3F63"/>
    <w:rsid w:val="004D4684"/>
    <w:rsid w:val="004D6C50"/>
    <w:rsid w:val="004D7B33"/>
    <w:rsid w:val="004E080D"/>
    <w:rsid w:val="004E1B1A"/>
    <w:rsid w:val="004E1FEA"/>
    <w:rsid w:val="004E5742"/>
    <w:rsid w:val="004E65BE"/>
    <w:rsid w:val="004F007E"/>
    <w:rsid w:val="004F059A"/>
    <w:rsid w:val="004F0AB4"/>
    <w:rsid w:val="004F194B"/>
    <w:rsid w:val="004F2C14"/>
    <w:rsid w:val="004F2DF5"/>
    <w:rsid w:val="004F334D"/>
    <w:rsid w:val="004F35AF"/>
    <w:rsid w:val="004F5B0E"/>
    <w:rsid w:val="004F5D1F"/>
    <w:rsid w:val="00501026"/>
    <w:rsid w:val="0050141B"/>
    <w:rsid w:val="00503B46"/>
    <w:rsid w:val="005043A9"/>
    <w:rsid w:val="00504B55"/>
    <w:rsid w:val="00504DA7"/>
    <w:rsid w:val="00513452"/>
    <w:rsid w:val="0051404B"/>
    <w:rsid w:val="00515304"/>
    <w:rsid w:val="005154C0"/>
    <w:rsid w:val="0051749B"/>
    <w:rsid w:val="00517F34"/>
    <w:rsid w:val="00524AD4"/>
    <w:rsid w:val="00526031"/>
    <w:rsid w:val="005272B4"/>
    <w:rsid w:val="0052760B"/>
    <w:rsid w:val="0052766C"/>
    <w:rsid w:val="00527C04"/>
    <w:rsid w:val="0053235F"/>
    <w:rsid w:val="005327EB"/>
    <w:rsid w:val="00536009"/>
    <w:rsid w:val="00540406"/>
    <w:rsid w:val="00545635"/>
    <w:rsid w:val="00546249"/>
    <w:rsid w:val="005502E5"/>
    <w:rsid w:val="00551466"/>
    <w:rsid w:val="0055203E"/>
    <w:rsid w:val="00552D1F"/>
    <w:rsid w:val="00553914"/>
    <w:rsid w:val="00554EF5"/>
    <w:rsid w:val="00556EE4"/>
    <w:rsid w:val="00557E20"/>
    <w:rsid w:val="0056035B"/>
    <w:rsid w:val="005607B1"/>
    <w:rsid w:val="005618E7"/>
    <w:rsid w:val="00563B12"/>
    <w:rsid w:val="00564164"/>
    <w:rsid w:val="00566603"/>
    <w:rsid w:val="0056689C"/>
    <w:rsid w:val="005727E8"/>
    <w:rsid w:val="00573336"/>
    <w:rsid w:val="00573E41"/>
    <w:rsid w:val="00574442"/>
    <w:rsid w:val="00574A92"/>
    <w:rsid w:val="00575318"/>
    <w:rsid w:val="00576239"/>
    <w:rsid w:val="00576272"/>
    <w:rsid w:val="005770F8"/>
    <w:rsid w:val="005803C8"/>
    <w:rsid w:val="00581659"/>
    <w:rsid w:val="00581E4B"/>
    <w:rsid w:val="00582131"/>
    <w:rsid w:val="005832F8"/>
    <w:rsid w:val="00584420"/>
    <w:rsid w:val="00584633"/>
    <w:rsid w:val="00585458"/>
    <w:rsid w:val="00585CD0"/>
    <w:rsid w:val="00585F66"/>
    <w:rsid w:val="00587483"/>
    <w:rsid w:val="00587E0D"/>
    <w:rsid w:val="005933B1"/>
    <w:rsid w:val="00594543"/>
    <w:rsid w:val="00594AD8"/>
    <w:rsid w:val="0059666D"/>
    <w:rsid w:val="00596B9B"/>
    <w:rsid w:val="0059722F"/>
    <w:rsid w:val="00597428"/>
    <w:rsid w:val="005A3734"/>
    <w:rsid w:val="005A3E18"/>
    <w:rsid w:val="005A4DFB"/>
    <w:rsid w:val="005A5606"/>
    <w:rsid w:val="005A5661"/>
    <w:rsid w:val="005A71B2"/>
    <w:rsid w:val="005A7DF5"/>
    <w:rsid w:val="005B02E9"/>
    <w:rsid w:val="005B1502"/>
    <w:rsid w:val="005B25D3"/>
    <w:rsid w:val="005B3B07"/>
    <w:rsid w:val="005B474D"/>
    <w:rsid w:val="005B4DBF"/>
    <w:rsid w:val="005C007E"/>
    <w:rsid w:val="005C0D1C"/>
    <w:rsid w:val="005C0D3D"/>
    <w:rsid w:val="005C3464"/>
    <w:rsid w:val="005C3EEC"/>
    <w:rsid w:val="005C472C"/>
    <w:rsid w:val="005C4B5F"/>
    <w:rsid w:val="005C4C82"/>
    <w:rsid w:val="005C5F7D"/>
    <w:rsid w:val="005C7229"/>
    <w:rsid w:val="005C7920"/>
    <w:rsid w:val="005D017B"/>
    <w:rsid w:val="005D2C70"/>
    <w:rsid w:val="005D3F77"/>
    <w:rsid w:val="005D51D1"/>
    <w:rsid w:val="005D6689"/>
    <w:rsid w:val="005D75CD"/>
    <w:rsid w:val="005E0397"/>
    <w:rsid w:val="005E1741"/>
    <w:rsid w:val="005E3268"/>
    <w:rsid w:val="005E4418"/>
    <w:rsid w:val="005E5FEF"/>
    <w:rsid w:val="005E61FC"/>
    <w:rsid w:val="005F061D"/>
    <w:rsid w:val="005F06E3"/>
    <w:rsid w:val="005F101C"/>
    <w:rsid w:val="005F2700"/>
    <w:rsid w:val="00603957"/>
    <w:rsid w:val="00605771"/>
    <w:rsid w:val="0060773E"/>
    <w:rsid w:val="00612E2C"/>
    <w:rsid w:val="00614B05"/>
    <w:rsid w:val="006159BE"/>
    <w:rsid w:val="006179D9"/>
    <w:rsid w:val="006221FB"/>
    <w:rsid w:val="00622864"/>
    <w:rsid w:val="00623E05"/>
    <w:rsid w:val="006254C3"/>
    <w:rsid w:val="00625989"/>
    <w:rsid w:val="00626F76"/>
    <w:rsid w:val="00627E09"/>
    <w:rsid w:val="0063057C"/>
    <w:rsid w:val="00630C5A"/>
    <w:rsid w:val="00633790"/>
    <w:rsid w:val="00633DDA"/>
    <w:rsid w:val="0063584B"/>
    <w:rsid w:val="00635864"/>
    <w:rsid w:val="0063646E"/>
    <w:rsid w:val="00637873"/>
    <w:rsid w:val="00640CF8"/>
    <w:rsid w:val="006411F8"/>
    <w:rsid w:val="00644261"/>
    <w:rsid w:val="00644A7F"/>
    <w:rsid w:val="00644BF1"/>
    <w:rsid w:val="00645FAA"/>
    <w:rsid w:val="006477B1"/>
    <w:rsid w:val="006514F3"/>
    <w:rsid w:val="006521DC"/>
    <w:rsid w:val="00652288"/>
    <w:rsid w:val="00652A55"/>
    <w:rsid w:val="00652B6C"/>
    <w:rsid w:val="00654D31"/>
    <w:rsid w:val="00656038"/>
    <w:rsid w:val="00660A60"/>
    <w:rsid w:val="00662EF9"/>
    <w:rsid w:val="006655DE"/>
    <w:rsid w:val="00672179"/>
    <w:rsid w:val="006727A4"/>
    <w:rsid w:val="00672966"/>
    <w:rsid w:val="00673047"/>
    <w:rsid w:val="006739BA"/>
    <w:rsid w:val="00675C00"/>
    <w:rsid w:val="00677F22"/>
    <w:rsid w:val="006806F0"/>
    <w:rsid w:val="00680A79"/>
    <w:rsid w:val="00681B26"/>
    <w:rsid w:val="00684798"/>
    <w:rsid w:val="006847E2"/>
    <w:rsid w:val="00685B95"/>
    <w:rsid w:val="00685C29"/>
    <w:rsid w:val="0068699E"/>
    <w:rsid w:val="00687A32"/>
    <w:rsid w:val="00687B51"/>
    <w:rsid w:val="00690475"/>
    <w:rsid w:val="00692FB4"/>
    <w:rsid w:val="006979A2"/>
    <w:rsid w:val="006A145A"/>
    <w:rsid w:val="006A3506"/>
    <w:rsid w:val="006A4208"/>
    <w:rsid w:val="006A48C9"/>
    <w:rsid w:val="006A4DB6"/>
    <w:rsid w:val="006A6369"/>
    <w:rsid w:val="006A7A5F"/>
    <w:rsid w:val="006B1FAB"/>
    <w:rsid w:val="006B214E"/>
    <w:rsid w:val="006B3DB5"/>
    <w:rsid w:val="006B637A"/>
    <w:rsid w:val="006C0812"/>
    <w:rsid w:val="006C2123"/>
    <w:rsid w:val="006C2BA6"/>
    <w:rsid w:val="006C2C11"/>
    <w:rsid w:val="006C32D5"/>
    <w:rsid w:val="006C330E"/>
    <w:rsid w:val="006C4202"/>
    <w:rsid w:val="006C5DB0"/>
    <w:rsid w:val="006C798E"/>
    <w:rsid w:val="006D07F2"/>
    <w:rsid w:val="006D1AEA"/>
    <w:rsid w:val="006D6A6F"/>
    <w:rsid w:val="006D7A9F"/>
    <w:rsid w:val="006E07A1"/>
    <w:rsid w:val="006E0F99"/>
    <w:rsid w:val="006E1AB1"/>
    <w:rsid w:val="006E207C"/>
    <w:rsid w:val="006E45DF"/>
    <w:rsid w:val="006F0792"/>
    <w:rsid w:val="006F12F9"/>
    <w:rsid w:val="006F1DFB"/>
    <w:rsid w:val="006F1ED0"/>
    <w:rsid w:val="006F2B88"/>
    <w:rsid w:val="006F31C6"/>
    <w:rsid w:val="006F57ED"/>
    <w:rsid w:val="006F67A7"/>
    <w:rsid w:val="00703D5F"/>
    <w:rsid w:val="00703F25"/>
    <w:rsid w:val="00704FF4"/>
    <w:rsid w:val="00705EFE"/>
    <w:rsid w:val="00706CA6"/>
    <w:rsid w:val="00710B0F"/>
    <w:rsid w:val="00710F36"/>
    <w:rsid w:val="007136E7"/>
    <w:rsid w:val="00713C7A"/>
    <w:rsid w:val="00716A36"/>
    <w:rsid w:val="00717DB9"/>
    <w:rsid w:val="007209AA"/>
    <w:rsid w:val="007223A6"/>
    <w:rsid w:val="007224A1"/>
    <w:rsid w:val="00723784"/>
    <w:rsid w:val="00723FA5"/>
    <w:rsid w:val="007250AA"/>
    <w:rsid w:val="007325F2"/>
    <w:rsid w:val="0073630F"/>
    <w:rsid w:val="00740B7C"/>
    <w:rsid w:val="007443B3"/>
    <w:rsid w:val="007444CC"/>
    <w:rsid w:val="00744F86"/>
    <w:rsid w:val="00745AA7"/>
    <w:rsid w:val="00746452"/>
    <w:rsid w:val="00752655"/>
    <w:rsid w:val="00752BF1"/>
    <w:rsid w:val="007549E1"/>
    <w:rsid w:val="00754B21"/>
    <w:rsid w:val="00754FF4"/>
    <w:rsid w:val="007602B3"/>
    <w:rsid w:val="00761378"/>
    <w:rsid w:val="007618F7"/>
    <w:rsid w:val="007633DC"/>
    <w:rsid w:val="00765018"/>
    <w:rsid w:val="00766DAA"/>
    <w:rsid w:val="00766FB7"/>
    <w:rsid w:val="0076796A"/>
    <w:rsid w:val="00770890"/>
    <w:rsid w:val="00772314"/>
    <w:rsid w:val="0077390B"/>
    <w:rsid w:val="0077421B"/>
    <w:rsid w:val="00775C4F"/>
    <w:rsid w:val="00775FBD"/>
    <w:rsid w:val="0077743C"/>
    <w:rsid w:val="00780658"/>
    <w:rsid w:val="00780A5C"/>
    <w:rsid w:val="00781142"/>
    <w:rsid w:val="00781477"/>
    <w:rsid w:val="00781BD2"/>
    <w:rsid w:val="00784F81"/>
    <w:rsid w:val="00786B2B"/>
    <w:rsid w:val="007905FA"/>
    <w:rsid w:val="00791A45"/>
    <w:rsid w:val="00792BF7"/>
    <w:rsid w:val="00792FD3"/>
    <w:rsid w:val="0079305C"/>
    <w:rsid w:val="007946CB"/>
    <w:rsid w:val="007967D7"/>
    <w:rsid w:val="007A15C3"/>
    <w:rsid w:val="007A5829"/>
    <w:rsid w:val="007A67CB"/>
    <w:rsid w:val="007B0A5A"/>
    <w:rsid w:val="007B0B0B"/>
    <w:rsid w:val="007B5C55"/>
    <w:rsid w:val="007B65CD"/>
    <w:rsid w:val="007C20F2"/>
    <w:rsid w:val="007C378A"/>
    <w:rsid w:val="007C3D01"/>
    <w:rsid w:val="007C52F7"/>
    <w:rsid w:val="007C7A96"/>
    <w:rsid w:val="007D0768"/>
    <w:rsid w:val="007D238E"/>
    <w:rsid w:val="007D31EA"/>
    <w:rsid w:val="007D6649"/>
    <w:rsid w:val="007E05B9"/>
    <w:rsid w:val="007E0977"/>
    <w:rsid w:val="007E10FE"/>
    <w:rsid w:val="007E31DF"/>
    <w:rsid w:val="007E3A17"/>
    <w:rsid w:val="007E4595"/>
    <w:rsid w:val="007E47AC"/>
    <w:rsid w:val="007E4ADA"/>
    <w:rsid w:val="007E4B23"/>
    <w:rsid w:val="007E6099"/>
    <w:rsid w:val="007E61FE"/>
    <w:rsid w:val="007E6E98"/>
    <w:rsid w:val="007E6FDA"/>
    <w:rsid w:val="007F2D5F"/>
    <w:rsid w:val="007F33D1"/>
    <w:rsid w:val="007F3401"/>
    <w:rsid w:val="007F40AD"/>
    <w:rsid w:val="007F4A32"/>
    <w:rsid w:val="007F61D1"/>
    <w:rsid w:val="007F7859"/>
    <w:rsid w:val="00800EB4"/>
    <w:rsid w:val="00801314"/>
    <w:rsid w:val="00803862"/>
    <w:rsid w:val="00803F43"/>
    <w:rsid w:val="00804A84"/>
    <w:rsid w:val="00805FCA"/>
    <w:rsid w:val="008073B7"/>
    <w:rsid w:val="00807C0B"/>
    <w:rsid w:val="008105AF"/>
    <w:rsid w:val="00810798"/>
    <w:rsid w:val="00810DB8"/>
    <w:rsid w:val="0081347F"/>
    <w:rsid w:val="0081445E"/>
    <w:rsid w:val="0081630E"/>
    <w:rsid w:val="008204A2"/>
    <w:rsid w:val="00820C73"/>
    <w:rsid w:val="00822120"/>
    <w:rsid w:val="00822A00"/>
    <w:rsid w:val="008246FD"/>
    <w:rsid w:val="008303B0"/>
    <w:rsid w:val="0083075C"/>
    <w:rsid w:val="00830E7C"/>
    <w:rsid w:val="00831978"/>
    <w:rsid w:val="00831C0A"/>
    <w:rsid w:val="008342A7"/>
    <w:rsid w:val="00834C45"/>
    <w:rsid w:val="008366FD"/>
    <w:rsid w:val="008371D4"/>
    <w:rsid w:val="0084008F"/>
    <w:rsid w:val="00843E31"/>
    <w:rsid w:val="00844820"/>
    <w:rsid w:val="00846040"/>
    <w:rsid w:val="00847AFE"/>
    <w:rsid w:val="00847F66"/>
    <w:rsid w:val="00850E18"/>
    <w:rsid w:val="00851366"/>
    <w:rsid w:val="00852463"/>
    <w:rsid w:val="00852684"/>
    <w:rsid w:val="00852B25"/>
    <w:rsid w:val="0085352D"/>
    <w:rsid w:val="00854375"/>
    <w:rsid w:val="00855854"/>
    <w:rsid w:val="00855C46"/>
    <w:rsid w:val="00856DF5"/>
    <w:rsid w:val="00857818"/>
    <w:rsid w:val="00857EC1"/>
    <w:rsid w:val="00861876"/>
    <w:rsid w:val="00862641"/>
    <w:rsid w:val="00865C67"/>
    <w:rsid w:val="00865D21"/>
    <w:rsid w:val="00867AC7"/>
    <w:rsid w:val="0087377A"/>
    <w:rsid w:val="00873CA4"/>
    <w:rsid w:val="008775FD"/>
    <w:rsid w:val="00881A03"/>
    <w:rsid w:val="008820AE"/>
    <w:rsid w:val="0088222D"/>
    <w:rsid w:val="008843AE"/>
    <w:rsid w:val="00884E7C"/>
    <w:rsid w:val="00886214"/>
    <w:rsid w:val="00886961"/>
    <w:rsid w:val="0088791B"/>
    <w:rsid w:val="008919EB"/>
    <w:rsid w:val="00891D8C"/>
    <w:rsid w:val="008951CB"/>
    <w:rsid w:val="00895297"/>
    <w:rsid w:val="008954FD"/>
    <w:rsid w:val="00897234"/>
    <w:rsid w:val="008A0044"/>
    <w:rsid w:val="008A03E6"/>
    <w:rsid w:val="008A15CB"/>
    <w:rsid w:val="008A15F6"/>
    <w:rsid w:val="008A27F9"/>
    <w:rsid w:val="008A31A5"/>
    <w:rsid w:val="008A49CC"/>
    <w:rsid w:val="008A54EF"/>
    <w:rsid w:val="008A65F3"/>
    <w:rsid w:val="008A6A27"/>
    <w:rsid w:val="008A7688"/>
    <w:rsid w:val="008A7AC2"/>
    <w:rsid w:val="008B0DD4"/>
    <w:rsid w:val="008B19F5"/>
    <w:rsid w:val="008B1FE7"/>
    <w:rsid w:val="008B2681"/>
    <w:rsid w:val="008B2AB2"/>
    <w:rsid w:val="008B5506"/>
    <w:rsid w:val="008B56AA"/>
    <w:rsid w:val="008B74B5"/>
    <w:rsid w:val="008C07A8"/>
    <w:rsid w:val="008C23AE"/>
    <w:rsid w:val="008C2428"/>
    <w:rsid w:val="008C41ED"/>
    <w:rsid w:val="008C509D"/>
    <w:rsid w:val="008C7B58"/>
    <w:rsid w:val="008D06A4"/>
    <w:rsid w:val="008D1392"/>
    <w:rsid w:val="008D4A50"/>
    <w:rsid w:val="008D4D60"/>
    <w:rsid w:val="008D5662"/>
    <w:rsid w:val="008D6639"/>
    <w:rsid w:val="008D6BBD"/>
    <w:rsid w:val="008D6F7E"/>
    <w:rsid w:val="008E16AB"/>
    <w:rsid w:val="008E1A9E"/>
    <w:rsid w:val="008E2027"/>
    <w:rsid w:val="008E65B2"/>
    <w:rsid w:val="008E70B7"/>
    <w:rsid w:val="008F0704"/>
    <w:rsid w:val="008F0C5E"/>
    <w:rsid w:val="008F1D3B"/>
    <w:rsid w:val="008F2DCE"/>
    <w:rsid w:val="008F322A"/>
    <w:rsid w:val="008F3DE3"/>
    <w:rsid w:val="008F4950"/>
    <w:rsid w:val="008F572D"/>
    <w:rsid w:val="008F6A44"/>
    <w:rsid w:val="009004CF"/>
    <w:rsid w:val="00902B48"/>
    <w:rsid w:val="0090453C"/>
    <w:rsid w:val="00907A22"/>
    <w:rsid w:val="00910949"/>
    <w:rsid w:val="00911000"/>
    <w:rsid w:val="00911283"/>
    <w:rsid w:val="00912C42"/>
    <w:rsid w:val="009141E8"/>
    <w:rsid w:val="00914AAB"/>
    <w:rsid w:val="00914DF0"/>
    <w:rsid w:val="0091740C"/>
    <w:rsid w:val="0091772A"/>
    <w:rsid w:val="00917C9A"/>
    <w:rsid w:val="00917DDE"/>
    <w:rsid w:val="00920590"/>
    <w:rsid w:val="009243A9"/>
    <w:rsid w:val="00925176"/>
    <w:rsid w:val="00925FF6"/>
    <w:rsid w:val="00926159"/>
    <w:rsid w:val="00930090"/>
    <w:rsid w:val="00932C9F"/>
    <w:rsid w:val="00932FE5"/>
    <w:rsid w:val="00933248"/>
    <w:rsid w:val="009366A4"/>
    <w:rsid w:val="00944220"/>
    <w:rsid w:val="00945332"/>
    <w:rsid w:val="00947B1C"/>
    <w:rsid w:val="00950A58"/>
    <w:rsid w:val="00951F4A"/>
    <w:rsid w:val="00952942"/>
    <w:rsid w:val="0095561E"/>
    <w:rsid w:val="00955ADE"/>
    <w:rsid w:val="009562AC"/>
    <w:rsid w:val="00960957"/>
    <w:rsid w:val="00960FA7"/>
    <w:rsid w:val="00962CA3"/>
    <w:rsid w:val="009630D6"/>
    <w:rsid w:val="00963A0F"/>
    <w:rsid w:val="00965F59"/>
    <w:rsid w:val="00966C56"/>
    <w:rsid w:val="00967180"/>
    <w:rsid w:val="00970211"/>
    <w:rsid w:val="00970824"/>
    <w:rsid w:val="00975239"/>
    <w:rsid w:val="00982E71"/>
    <w:rsid w:val="00984854"/>
    <w:rsid w:val="00984BD1"/>
    <w:rsid w:val="009852E8"/>
    <w:rsid w:val="009860C7"/>
    <w:rsid w:val="00990838"/>
    <w:rsid w:val="0099096F"/>
    <w:rsid w:val="00991F61"/>
    <w:rsid w:val="00995E5C"/>
    <w:rsid w:val="009965A5"/>
    <w:rsid w:val="009A000D"/>
    <w:rsid w:val="009A061F"/>
    <w:rsid w:val="009A0CD8"/>
    <w:rsid w:val="009A0D71"/>
    <w:rsid w:val="009A249B"/>
    <w:rsid w:val="009A2E7B"/>
    <w:rsid w:val="009A3F47"/>
    <w:rsid w:val="009A41F2"/>
    <w:rsid w:val="009A4F91"/>
    <w:rsid w:val="009A5125"/>
    <w:rsid w:val="009A51B5"/>
    <w:rsid w:val="009A5AD3"/>
    <w:rsid w:val="009A6087"/>
    <w:rsid w:val="009A6383"/>
    <w:rsid w:val="009A66C1"/>
    <w:rsid w:val="009B0416"/>
    <w:rsid w:val="009B188B"/>
    <w:rsid w:val="009B5B59"/>
    <w:rsid w:val="009B6972"/>
    <w:rsid w:val="009C1E53"/>
    <w:rsid w:val="009C34E2"/>
    <w:rsid w:val="009C38A2"/>
    <w:rsid w:val="009C3DBD"/>
    <w:rsid w:val="009D10DF"/>
    <w:rsid w:val="009D18B1"/>
    <w:rsid w:val="009D3B88"/>
    <w:rsid w:val="009D5978"/>
    <w:rsid w:val="009D5E5B"/>
    <w:rsid w:val="009D74A3"/>
    <w:rsid w:val="009D7D7A"/>
    <w:rsid w:val="009E3393"/>
    <w:rsid w:val="009E3DC4"/>
    <w:rsid w:val="009E51BC"/>
    <w:rsid w:val="009F2F48"/>
    <w:rsid w:val="009F4F46"/>
    <w:rsid w:val="009F5F60"/>
    <w:rsid w:val="009F6ECB"/>
    <w:rsid w:val="00A02608"/>
    <w:rsid w:val="00A02996"/>
    <w:rsid w:val="00A039B4"/>
    <w:rsid w:val="00A05359"/>
    <w:rsid w:val="00A054E3"/>
    <w:rsid w:val="00A0647D"/>
    <w:rsid w:val="00A0789F"/>
    <w:rsid w:val="00A07991"/>
    <w:rsid w:val="00A07F65"/>
    <w:rsid w:val="00A10543"/>
    <w:rsid w:val="00A11BFE"/>
    <w:rsid w:val="00A12D0F"/>
    <w:rsid w:val="00A15C92"/>
    <w:rsid w:val="00A23142"/>
    <w:rsid w:val="00A23D9C"/>
    <w:rsid w:val="00A2508A"/>
    <w:rsid w:val="00A2517C"/>
    <w:rsid w:val="00A25827"/>
    <w:rsid w:val="00A25CE8"/>
    <w:rsid w:val="00A304F3"/>
    <w:rsid w:val="00A31844"/>
    <w:rsid w:val="00A35D2A"/>
    <w:rsid w:val="00A360EA"/>
    <w:rsid w:val="00A379DE"/>
    <w:rsid w:val="00A40090"/>
    <w:rsid w:val="00A40DAB"/>
    <w:rsid w:val="00A419C3"/>
    <w:rsid w:val="00A4341C"/>
    <w:rsid w:val="00A46B98"/>
    <w:rsid w:val="00A46E92"/>
    <w:rsid w:val="00A47AFB"/>
    <w:rsid w:val="00A50EDD"/>
    <w:rsid w:val="00A53050"/>
    <w:rsid w:val="00A53863"/>
    <w:rsid w:val="00A53942"/>
    <w:rsid w:val="00A53D2E"/>
    <w:rsid w:val="00A5413A"/>
    <w:rsid w:val="00A54BDA"/>
    <w:rsid w:val="00A54C97"/>
    <w:rsid w:val="00A6210A"/>
    <w:rsid w:val="00A62507"/>
    <w:rsid w:val="00A64785"/>
    <w:rsid w:val="00A65FE8"/>
    <w:rsid w:val="00A67766"/>
    <w:rsid w:val="00A70E53"/>
    <w:rsid w:val="00A7191C"/>
    <w:rsid w:val="00A72574"/>
    <w:rsid w:val="00A7360D"/>
    <w:rsid w:val="00A73869"/>
    <w:rsid w:val="00A758B9"/>
    <w:rsid w:val="00A771C0"/>
    <w:rsid w:val="00A804C4"/>
    <w:rsid w:val="00A815F7"/>
    <w:rsid w:val="00A83F58"/>
    <w:rsid w:val="00A840AD"/>
    <w:rsid w:val="00A8457A"/>
    <w:rsid w:val="00A85264"/>
    <w:rsid w:val="00A874CE"/>
    <w:rsid w:val="00A91246"/>
    <w:rsid w:val="00A94A06"/>
    <w:rsid w:val="00A95404"/>
    <w:rsid w:val="00A969F5"/>
    <w:rsid w:val="00AA11AF"/>
    <w:rsid w:val="00AA22D6"/>
    <w:rsid w:val="00AA4761"/>
    <w:rsid w:val="00AA5BC1"/>
    <w:rsid w:val="00AA6EAF"/>
    <w:rsid w:val="00AA6FBE"/>
    <w:rsid w:val="00AB087F"/>
    <w:rsid w:val="00AB2F32"/>
    <w:rsid w:val="00AB3523"/>
    <w:rsid w:val="00AB6FA4"/>
    <w:rsid w:val="00AC1252"/>
    <w:rsid w:val="00AC22B6"/>
    <w:rsid w:val="00AC266A"/>
    <w:rsid w:val="00AC2E86"/>
    <w:rsid w:val="00AC3135"/>
    <w:rsid w:val="00AC63B8"/>
    <w:rsid w:val="00AC6D72"/>
    <w:rsid w:val="00AC7D13"/>
    <w:rsid w:val="00AD0FE6"/>
    <w:rsid w:val="00AD295D"/>
    <w:rsid w:val="00AD3774"/>
    <w:rsid w:val="00AD3D70"/>
    <w:rsid w:val="00AD52DD"/>
    <w:rsid w:val="00AE0A61"/>
    <w:rsid w:val="00AE2177"/>
    <w:rsid w:val="00AE2292"/>
    <w:rsid w:val="00AE2C71"/>
    <w:rsid w:val="00AE31E6"/>
    <w:rsid w:val="00AE7772"/>
    <w:rsid w:val="00AE7A69"/>
    <w:rsid w:val="00AF3D5F"/>
    <w:rsid w:val="00AF640B"/>
    <w:rsid w:val="00AF646D"/>
    <w:rsid w:val="00AF689A"/>
    <w:rsid w:val="00B00388"/>
    <w:rsid w:val="00B00816"/>
    <w:rsid w:val="00B013ED"/>
    <w:rsid w:val="00B03702"/>
    <w:rsid w:val="00B047DC"/>
    <w:rsid w:val="00B076BB"/>
    <w:rsid w:val="00B1027C"/>
    <w:rsid w:val="00B10C60"/>
    <w:rsid w:val="00B10F92"/>
    <w:rsid w:val="00B12E36"/>
    <w:rsid w:val="00B13DDF"/>
    <w:rsid w:val="00B1495C"/>
    <w:rsid w:val="00B1543F"/>
    <w:rsid w:val="00B23904"/>
    <w:rsid w:val="00B23FB5"/>
    <w:rsid w:val="00B2670C"/>
    <w:rsid w:val="00B270A1"/>
    <w:rsid w:val="00B27BCB"/>
    <w:rsid w:val="00B307E9"/>
    <w:rsid w:val="00B31021"/>
    <w:rsid w:val="00B3258E"/>
    <w:rsid w:val="00B32DE2"/>
    <w:rsid w:val="00B3314F"/>
    <w:rsid w:val="00B33F9C"/>
    <w:rsid w:val="00B34079"/>
    <w:rsid w:val="00B34711"/>
    <w:rsid w:val="00B35593"/>
    <w:rsid w:val="00B37C8C"/>
    <w:rsid w:val="00B442A9"/>
    <w:rsid w:val="00B46126"/>
    <w:rsid w:val="00B46F12"/>
    <w:rsid w:val="00B50DA4"/>
    <w:rsid w:val="00B51266"/>
    <w:rsid w:val="00B53790"/>
    <w:rsid w:val="00B55504"/>
    <w:rsid w:val="00B607BC"/>
    <w:rsid w:val="00B62380"/>
    <w:rsid w:val="00B63E58"/>
    <w:rsid w:val="00B64765"/>
    <w:rsid w:val="00B653A7"/>
    <w:rsid w:val="00B655F0"/>
    <w:rsid w:val="00B65D16"/>
    <w:rsid w:val="00B679D6"/>
    <w:rsid w:val="00B711F1"/>
    <w:rsid w:val="00B72FBA"/>
    <w:rsid w:val="00B7412D"/>
    <w:rsid w:val="00B75B12"/>
    <w:rsid w:val="00B76099"/>
    <w:rsid w:val="00B76651"/>
    <w:rsid w:val="00B8323C"/>
    <w:rsid w:val="00B83359"/>
    <w:rsid w:val="00B83369"/>
    <w:rsid w:val="00B836DA"/>
    <w:rsid w:val="00B83ECA"/>
    <w:rsid w:val="00B84041"/>
    <w:rsid w:val="00B843FB"/>
    <w:rsid w:val="00B84648"/>
    <w:rsid w:val="00B84877"/>
    <w:rsid w:val="00B8575A"/>
    <w:rsid w:val="00B860A2"/>
    <w:rsid w:val="00B868F6"/>
    <w:rsid w:val="00B869E1"/>
    <w:rsid w:val="00B8784D"/>
    <w:rsid w:val="00B879A1"/>
    <w:rsid w:val="00B87E5D"/>
    <w:rsid w:val="00B903D1"/>
    <w:rsid w:val="00B936C4"/>
    <w:rsid w:val="00B93EED"/>
    <w:rsid w:val="00B94028"/>
    <w:rsid w:val="00B9629F"/>
    <w:rsid w:val="00BA053E"/>
    <w:rsid w:val="00BA1F51"/>
    <w:rsid w:val="00BA1F92"/>
    <w:rsid w:val="00BA251D"/>
    <w:rsid w:val="00BA36E1"/>
    <w:rsid w:val="00BA537B"/>
    <w:rsid w:val="00BA63B3"/>
    <w:rsid w:val="00BB0B87"/>
    <w:rsid w:val="00BB37DD"/>
    <w:rsid w:val="00BB3F51"/>
    <w:rsid w:val="00BB43E6"/>
    <w:rsid w:val="00BB5DE4"/>
    <w:rsid w:val="00BB6E07"/>
    <w:rsid w:val="00BC167D"/>
    <w:rsid w:val="00BC3076"/>
    <w:rsid w:val="00BC33E2"/>
    <w:rsid w:val="00BC53D5"/>
    <w:rsid w:val="00BC7022"/>
    <w:rsid w:val="00BD0627"/>
    <w:rsid w:val="00BD13E8"/>
    <w:rsid w:val="00BD2051"/>
    <w:rsid w:val="00BD2537"/>
    <w:rsid w:val="00BD5E59"/>
    <w:rsid w:val="00BE4774"/>
    <w:rsid w:val="00BF1279"/>
    <w:rsid w:val="00BF1637"/>
    <w:rsid w:val="00BF262F"/>
    <w:rsid w:val="00BF2CB0"/>
    <w:rsid w:val="00BF5BD3"/>
    <w:rsid w:val="00BF76E5"/>
    <w:rsid w:val="00C00205"/>
    <w:rsid w:val="00C01964"/>
    <w:rsid w:val="00C02700"/>
    <w:rsid w:val="00C03057"/>
    <w:rsid w:val="00C050DB"/>
    <w:rsid w:val="00C051D9"/>
    <w:rsid w:val="00C0667A"/>
    <w:rsid w:val="00C075CD"/>
    <w:rsid w:val="00C114A2"/>
    <w:rsid w:val="00C13815"/>
    <w:rsid w:val="00C15085"/>
    <w:rsid w:val="00C156B5"/>
    <w:rsid w:val="00C15977"/>
    <w:rsid w:val="00C179AC"/>
    <w:rsid w:val="00C20623"/>
    <w:rsid w:val="00C20C97"/>
    <w:rsid w:val="00C21037"/>
    <w:rsid w:val="00C218C8"/>
    <w:rsid w:val="00C23319"/>
    <w:rsid w:val="00C234D0"/>
    <w:rsid w:val="00C241A0"/>
    <w:rsid w:val="00C255D1"/>
    <w:rsid w:val="00C260B0"/>
    <w:rsid w:val="00C26269"/>
    <w:rsid w:val="00C2761B"/>
    <w:rsid w:val="00C31063"/>
    <w:rsid w:val="00C313EE"/>
    <w:rsid w:val="00C313F6"/>
    <w:rsid w:val="00C321BC"/>
    <w:rsid w:val="00C32444"/>
    <w:rsid w:val="00C33560"/>
    <w:rsid w:val="00C355E7"/>
    <w:rsid w:val="00C40D26"/>
    <w:rsid w:val="00C42C62"/>
    <w:rsid w:val="00C446F2"/>
    <w:rsid w:val="00C466E8"/>
    <w:rsid w:val="00C4722D"/>
    <w:rsid w:val="00C47765"/>
    <w:rsid w:val="00C52703"/>
    <w:rsid w:val="00C52D24"/>
    <w:rsid w:val="00C5430F"/>
    <w:rsid w:val="00C600B5"/>
    <w:rsid w:val="00C60ED7"/>
    <w:rsid w:val="00C61E3D"/>
    <w:rsid w:val="00C6540B"/>
    <w:rsid w:val="00C66302"/>
    <w:rsid w:val="00C664D2"/>
    <w:rsid w:val="00C6674D"/>
    <w:rsid w:val="00C67A52"/>
    <w:rsid w:val="00C67AED"/>
    <w:rsid w:val="00C70123"/>
    <w:rsid w:val="00C70628"/>
    <w:rsid w:val="00C70D24"/>
    <w:rsid w:val="00C73B88"/>
    <w:rsid w:val="00C742A6"/>
    <w:rsid w:val="00C765BB"/>
    <w:rsid w:val="00C76AA5"/>
    <w:rsid w:val="00C77C01"/>
    <w:rsid w:val="00C8178C"/>
    <w:rsid w:val="00C818BC"/>
    <w:rsid w:val="00C81E70"/>
    <w:rsid w:val="00C848B7"/>
    <w:rsid w:val="00C90318"/>
    <w:rsid w:val="00C927B6"/>
    <w:rsid w:val="00C93CF9"/>
    <w:rsid w:val="00C93F8D"/>
    <w:rsid w:val="00C95568"/>
    <w:rsid w:val="00C95800"/>
    <w:rsid w:val="00C95DA4"/>
    <w:rsid w:val="00C97086"/>
    <w:rsid w:val="00CA3360"/>
    <w:rsid w:val="00CA5297"/>
    <w:rsid w:val="00CA651D"/>
    <w:rsid w:val="00CA68C0"/>
    <w:rsid w:val="00CB0565"/>
    <w:rsid w:val="00CB1B66"/>
    <w:rsid w:val="00CB1B8F"/>
    <w:rsid w:val="00CB2628"/>
    <w:rsid w:val="00CB2D68"/>
    <w:rsid w:val="00CB37E7"/>
    <w:rsid w:val="00CB3D4A"/>
    <w:rsid w:val="00CB3FAB"/>
    <w:rsid w:val="00CB5ED6"/>
    <w:rsid w:val="00CB6105"/>
    <w:rsid w:val="00CB628A"/>
    <w:rsid w:val="00CB6366"/>
    <w:rsid w:val="00CB7F8E"/>
    <w:rsid w:val="00CC270D"/>
    <w:rsid w:val="00CC3650"/>
    <w:rsid w:val="00CC587F"/>
    <w:rsid w:val="00CC5907"/>
    <w:rsid w:val="00CC6745"/>
    <w:rsid w:val="00CC6C76"/>
    <w:rsid w:val="00CC7130"/>
    <w:rsid w:val="00CC7462"/>
    <w:rsid w:val="00CD4AA2"/>
    <w:rsid w:val="00CD5D01"/>
    <w:rsid w:val="00CD714C"/>
    <w:rsid w:val="00CE0A00"/>
    <w:rsid w:val="00CE0A3F"/>
    <w:rsid w:val="00CE0AA5"/>
    <w:rsid w:val="00CE49CB"/>
    <w:rsid w:val="00CE5161"/>
    <w:rsid w:val="00CE5272"/>
    <w:rsid w:val="00CE5AD1"/>
    <w:rsid w:val="00CE6C83"/>
    <w:rsid w:val="00CE7893"/>
    <w:rsid w:val="00CF05BB"/>
    <w:rsid w:val="00CF22D3"/>
    <w:rsid w:val="00CF6980"/>
    <w:rsid w:val="00CF6BAF"/>
    <w:rsid w:val="00D00C33"/>
    <w:rsid w:val="00D01ADA"/>
    <w:rsid w:val="00D01E99"/>
    <w:rsid w:val="00D020D9"/>
    <w:rsid w:val="00D03BB7"/>
    <w:rsid w:val="00D03CB6"/>
    <w:rsid w:val="00D049B6"/>
    <w:rsid w:val="00D10430"/>
    <w:rsid w:val="00D11557"/>
    <w:rsid w:val="00D135A9"/>
    <w:rsid w:val="00D135D6"/>
    <w:rsid w:val="00D13BD5"/>
    <w:rsid w:val="00D16B1A"/>
    <w:rsid w:val="00D17294"/>
    <w:rsid w:val="00D208E3"/>
    <w:rsid w:val="00D2090B"/>
    <w:rsid w:val="00D21672"/>
    <w:rsid w:val="00D2539A"/>
    <w:rsid w:val="00D261A3"/>
    <w:rsid w:val="00D267B1"/>
    <w:rsid w:val="00D32020"/>
    <w:rsid w:val="00D3243B"/>
    <w:rsid w:val="00D3490C"/>
    <w:rsid w:val="00D34D60"/>
    <w:rsid w:val="00D34D6C"/>
    <w:rsid w:val="00D36279"/>
    <w:rsid w:val="00D362C7"/>
    <w:rsid w:val="00D371D4"/>
    <w:rsid w:val="00D4272F"/>
    <w:rsid w:val="00D42904"/>
    <w:rsid w:val="00D42E43"/>
    <w:rsid w:val="00D453C8"/>
    <w:rsid w:val="00D4597A"/>
    <w:rsid w:val="00D4692E"/>
    <w:rsid w:val="00D50E89"/>
    <w:rsid w:val="00D5243F"/>
    <w:rsid w:val="00D53C06"/>
    <w:rsid w:val="00D562A8"/>
    <w:rsid w:val="00D56B24"/>
    <w:rsid w:val="00D63B14"/>
    <w:rsid w:val="00D643FD"/>
    <w:rsid w:val="00D67C16"/>
    <w:rsid w:val="00D7039C"/>
    <w:rsid w:val="00D710CD"/>
    <w:rsid w:val="00D71608"/>
    <w:rsid w:val="00D71AB8"/>
    <w:rsid w:val="00D727D4"/>
    <w:rsid w:val="00D7303A"/>
    <w:rsid w:val="00D75E3F"/>
    <w:rsid w:val="00D76575"/>
    <w:rsid w:val="00D76A1B"/>
    <w:rsid w:val="00D76DEE"/>
    <w:rsid w:val="00D772A5"/>
    <w:rsid w:val="00D772AD"/>
    <w:rsid w:val="00D77800"/>
    <w:rsid w:val="00D803A4"/>
    <w:rsid w:val="00D81932"/>
    <w:rsid w:val="00D83A73"/>
    <w:rsid w:val="00D8551E"/>
    <w:rsid w:val="00D85721"/>
    <w:rsid w:val="00D9060E"/>
    <w:rsid w:val="00D93460"/>
    <w:rsid w:val="00D93AEE"/>
    <w:rsid w:val="00D9415B"/>
    <w:rsid w:val="00D96049"/>
    <w:rsid w:val="00D96379"/>
    <w:rsid w:val="00DA19E3"/>
    <w:rsid w:val="00DA37EB"/>
    <w:rsid w:val="00DA5C76"/>
    <w:rsid w:val="00DA5F01"/>
    <w:rsid w:val="00DA6143"/>
    <w:rsid w:val="00DA7C4D"/>
    <w:rsid w:val="00DB2C95"/>
    <w:rsid w:val="00DB3DDE"/>
    <w:rsid w:val="00DB4F18"/>
    <w:rsid w:val="00DB7EBD"/>
    <w:rsid w:val="00DC0057"/>
    <w:rsid w:val="00DC1AB9"/>
    <w:rsid w:val="00DC29C8"/>
    <w:rsid w:val="00DC3047"/>
    <w:rsid w:val="00DC3F31"/>
    <w:rsid w:val="00DC40A4"/>
    <w:rsid w:val="00DC4B3F"/>
    <w:rsid w:val="00DC4B57"/>
    <w:rsid w:val="00DC5019"/>
    <w:rsid w:val="00DC5656"/>
    <w:rsid w:val="00DC56E6"/>
    <w:rsid w:val="00DC795A"/>
    <w:rsid w:val="00DC79CA"/>
    <w:rsid w:val="00DD2F9D"/>
    <w:rsid w:val="00DD3912"/>
    <w:rsid w:val="00DD4A60"/>
    <w:rsid w:val="00DD6A8D"/>
    <w:rsid w:val="00DD754E"/>
    <w:rsid w:val="00DE1421"/>
    <w:rsid w:val="00DE5D01"/>
    <w:rsid w:val="00DE5DDA"/>
    <w:rsid w:val="00DF0B50"/>
    <w:rsid w:val="00DF1DF5"/>
    <w:rsid w:val="00DF1EEC"/>
    <w:rsid w:val="00DF2117"/>
    <w:rsid w:val="00DF268B"/>
    <w:rsid w:val="00DF7F5B"/>
    <w:rsid w:val="00E012E6"/>
    <w:rsid w:val="00E042C8"/>
    <w:rsid w:val="00E044DF"/>
    <w:rsid w:val="00E051B0"/>
    <w:rsid w:val="00E0550E"/>
    <w:rsid w:val="00E05BBB"/>
    <w:rsid w:val="00E05D3B"/>
    <w:rsid w:val="00E0601C"/>
    <w:rsid w:val="00E07C37"/>
    <w:rsid w:val="00E228FD"/>
    <w:rsid w:val="00E246AA"/>
    <w:rsid w:val="00E25363"/>
    <w:rsid w:val="00E26FA5"/>
    <w:rsid w:val="00E27160"/>
    <w:rsid w:val="00E37943"/>
    <w:rsid w:val="00E40EA1"/>
    <w:rsid w:val="00E4406A"/>
    <w:rsid w:val="00E50DA7"/>
    <w:rsid w:val="00E54D83"/>
    <w:rsid w:val="00E55407"/>
    <w:rsid w:val="00E56261"/>
    <w:rsid w:val="00E5648C"/>
    <w:rsid w:val="00E564E3"/>
    <w:rsid w:val="00E60AB3"/>
    <w:rsid w:val="00E639EB"/>
    <w:rsid w:val="00E658DA"/>
    <w:rsid w:val="00E66179"/>
    <w:rsid w:val="00E6765C"/>
    <w:rsid w:val="00E70FC7"/>
    <w:rsid w:val="00E725E3"/>
    <w:rsid w:val="00E728E7"/>
    <w:rsid w:val="00E72C44"/>
    <w:rsid w:val="00E7341B"/>
    <w:rsid w:val="00E74243"/>
    <w:rsid w:val="00E7540B"/>
    <w:rsid w:val="00E75913"/>
    <w:rsid w:val="00E77005"/>
    <w:rsid w:val="00E774F0"/>
    <w:rsid w:val="00E779FE"/>
    <w:rsid w:val="00E80D32"/>
    <w:rsid w:val="00E81CEE"/>
    <w:rsid w:val="00E81F31"/>
    <w:rsid w:val="00E8296E"/>
    <w:rsid w:val="00E86D3A"/>
    <w:rsid w:val="00E92DC9"/>
    <w:rsid w:val="00E93DD8"/>
    <w:rsid w:val="00E956CA"/>
    <w:rsid w:val="00E96A04"/>
    <w:rsid w:val="00E9708A"/>
    <w:rsid w:val="00EA1E96"/>
    <w:rsid w:val="00EA4BFE"/>
    <w:rsid w:val="00EA4C4E"/>
    <w:rsid w:val="00EA707A"/>
    <w:rsid w:val="00EB1260"/>
    <w:rsid w:val="00EB17D9"/>
    <w:rsid w:val="00EB3122"/>
    <w:rsid w:val="00EB48ED"/>
    <w:rsid w:val="00EB4A7A"/>
    <w:rsid w:val="00EB73BC"/>
    <w:rsid w:val="00EC119C"/>
    <w:rsid w:val="00EC1460"/>
    <w:rsid w:val="00EC2CE3"/>
    <w:rsid w:val="00EC3BC9"/>
    <w:rsid w:val="00EC3EF9"/>
    <w:rsid w:val="00ED379D"/>
    <w:rsid w:val="00ED402F"/>
    <w:rsid w:val="00EE0521"/>
    <w:rsid w:val="00EE128C"/>
    <w:rsid w:val="00EE1F62"/>
    <w:rsid w:val="00EE57FB"/>
    <w:rsid w:val="00EE6EA7"/>
    <w:rsid w:val="00EF2EAF"/>
    <w:rsid w:val="00EF30E0"/>
    <w:rsid w:val="00EF49AA"/>
    <w:rsid w:val="00EF638D"/>
    <w:rsid w:val="00EF69CB"/>
    <w:rsid w:val="00EF76A1"/>
    <w:rsid w:val="00F00FD4"/>
    <w:rsid w:val="00F0274D"/>
    <w:rsid w:val="00F03E9A"/>
    <w:rsid w:val="00F065D8"/>
    <w:rsid w:val="00F06D96"/>
    <w:rsid w:val="00F07752"/>
    <w:rsid w:val="00F10F9C"/>
    <w:rsid w:val="00F11310"/>
    <w:rsid w:val="00F12832"/>
    <w:rsid w:val="00F128EF"/>
    <w:rsid w:val="00F15012"/>
    <w:rsid w:val="00F15AFE"/>
    <w:rsid w:val="00F15FA7"/>
    <w:rsid w:val="00F1621E"/>
    <w:rsid w:val="00F16760"/>
    <w:rsid w:val="00F17681"/>
    <w:rsid w:val="00F20659"/>
    <w:rsid w:val="00F20850"/>
    <w:rsid w:val="00F21409"/>
    <w:rsid w:val="00F23E1E"/>
    <w:rsid w:val="00F27109"/>
    <w:rsid w:val="00F305E7"/>
    <w:rsid w:val="00F3176E"/>
    <w:rsid w:val="00F338AB"/>
    <w:rsid w:val="00F3624D"/>
    <w:rsid w:val="00F3762A"/>
    <w:rsid w:val="00F40F7D"/>
    <w:rsid w:val="00F42F13"/>
    <w:rsid w:val="00F44263"/>
    <w:rsid w:val="00F444ED"/>
    <w:rsid w:val="00F446C7"/>
    <w:rsid w:val="00F44810"/>
    <w:rsid w:val="00F4481F"/>
    <w:rsid w:val="00F46A80"/>
    <w:rsid w:val="00F51635"/>
    <w:rsid w:val="00F522AC"/>
    <w:rsid w:val="00F52783"/>
    <w:rsid w:val="00F534ED"/>
    <w:rsid w:val="00F558D9"/>
    <w:rsid w:val="00F55E0E"/>
    <w:rsid w:val="00F56004"/>
    <w:rsid w:val="00F602E7"/>
    <w:rsid w:val="00F604D1"/>
    <w:rsid w:val="00F60A17"/>
    <w:rsid w:val="00F62486"/>
    <w:rsid w:val="00F653BE"/>
    <w:rsid w:val="00F71A90"/>
    <w:rsid w:val="00F7392A"/>
    <w:rsid w:val="00F74A56"/>
    <w:rsid w:val="00F758CD"/>
    <w:rsid w:val="00F75C3A"/>
    <w:rsid w:val="00F77030"/>
    <w:rsid w:val="00F77A5E"/>
    <w:rsid w:val="00F818A4"/>
    <w:rsid w:val="00F822E7"/>
    <w:rsid w:val="00F836A1"/>
    <w:rsid w:val="00F8614C"/>
    <w:rsid w:val="00F86335"/>
    <w:rsid w:val="00F92D46"/>
    <w:rsid w:val="00F93D7A"/>
    <w:rsid w:val="00F949BF"/>
    <w:rsid w:val="00F956D7"/>
    <w:rsid w:val="00F967AE"/>
    <w:rsid w:val="00F96810"/>
    <w:rsid w:val="00F976CF"/>
    <w:rsid w:val="00FA2D11"/>
    <w:rsid w:val="00FA3A3C"/>
    <w:rsid w:val="00FA4077"/>
    <w:rsid w:val="00FA4CCC"/>
    <w:rsid w:val="00FA549D"/>
    <w:rsid w:val="00FA5CBA"/>
    <w:rsid w:val="00FA5DEF"/>
    <w:rsid w:val="00FA68A0"/>
    <w:rsid w:val="00FA6F0F"/>
    <w:rsid w:val="00FA769A"/>
    <w:rsid w:val="00FB18DE"/>
    <w:rsid w:val="00FB245A"/>
    <w:rsid w:val="00FB272E"/>
    <w:rsid w:val="00FB7F73"/>
    <w:rsid w:val="00FC0281"/>
    <w:rsid w:val="00FC259D"/>
    <w:rsid w:val="00FC3941"/>
    <w:rsid w:val="00FC419C"/>
    <w:rsid w:val="00FC43A0"/>
    <w:rsid w:val="00FC4CCB"/>
    <w:rsid w:val="00FC6116"/>
    <w:rsid w:val="00FC6395"/>
    <w:rsid w:val="00FC77EB"/>
    <w:rsid w:val="00FD04DB"/>
    <w:rsid w:val="00FD15C9"/>
    <w:rsid w:val="00FD1955"/>
    <w:rsid w:val="00FD4C1F"/>
    <w:rsid w:val="00FD5AA4"/>
    <w:rsid w:val="00FD5B8A"/>
    <w:rsid w:val="00FD5CCF"/>
    <w:rsid w:val="00FD783A"/>
    <w:rsid w:val="00FE0C02"/>
    <w:rsid w:val="00FE110F"/>
    <w:rsid w:val="00FE1D1C"/>
    <w:rsid w:val="00FE316F"/>
    <w:rsid w:val="00FE3274"/>
    <w:rsid w:val="00FE47D0"/>
    <w:rsid w:val="00FE492B"/>
    <w:rsid w:val="00FF00B2"/>
    <w:rsid w:val="00FF1998"/>
    <w:rsid w:val="00FF30E5"/>
    <w:rsid w:val="00FF3531"/>
    <w:rsid w:val="00FF3D2B"/>
    <w:rsid w:val="00FF6BCA"/>
    <w:rsid w:val="00FF6DA9"/>
    <w:rsid w:val="00FF6EC0"/>
    <w:rsid w:val="00FF7BB5"/>
    <w:rsid w:val="00FF7D60"/>
    <w:rsid w:val="09DF19C5"/>
    <w:rsid w:val="16F73A48"/>
    <w:rsid w:val="21B07095"/>
    <w:rsid w:val="363F6CB8"/>
    <w:rsid w:val="380D7A56"/>
    <w:rsid w:val="3C7B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9"/>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pPr>
      <w:adjustRightInd w:val="0"/>
      <w:spacing w:line="312" w:lineRule="atLeast"/>
      <w:textAlignment w:val="baseline"/>
    </w:pPr>
    <w:rPr>
      <w:rFonts w:ascii="宋体" w:hAnsi="Courier New"/>
      <w:kern w:val="0"/>
    </w:rPr>
  </w:style>
  <w:style w:type="paragraph" w:styleId="10">
    <w:name w:val="Body Text Indent 2"/>
    <w:basedOn w:val="1"/>
    <w:qFormat/>
    <w:uiPriority w:val="0"/>
    <w:pPr>
      <w:spacing w:line="360" w:lineRule="auto"/>
      <w:ind w:firstLine="425"/>
    </w:pPr>
    <w:rPr>
      <w:rFonts w:ascii="仿宋_GB2312" w:eastAsia="仿宋_GB2312"/>
      <w:sz w:val="28"/>
    </w:r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8296"/>
      </w:tabs>
      <w:spacing w:line="360" w:lineRule="auto"/>
    </w:pPr>
  </w:style>
  <w:style w:type="paragraph" w:styleId="15">
    <w:name w:val="footnote text"/>
    <w:basedOn w:val="1"/>
    <w:qFormat/>
    <w:uiPriority w:val="0"/>
    <w:pPr>
      <w:snapToGrid w:val="0"/>
      <w:jc w:val="left"/>
    </w:pPr>
    <w:rPr>
      <w:sz w:val="18"/>
    </w:rPr>
  </w:style>
  <w:style w:type="paragraph" w:styleId="16">
    <w:name w:val="Body Text Indent 3"/>
    <w:basedOn w:val="1"/>
    <w:qFormat/>
    <w:uiPriority w:val="0"/>
    <w:pPr>
      <w:autoSpaceDE w:val="0"/>
      <w:autoSpaceDN w:val="0"/>
      <w:adjustRightInd w:val="0"/>
      <w:spacing w:line="360" w:lineRule="auto"/>
      <w:ind w:left="420" w:firstLine="435"/>
    </w:pPr>
    <w:rPr>
      <w:color w:val="0000FF"/>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28"/>
    <w:qFormat/>
    <w:uiPriority w:val="0"/>
    <w:pPr>
      <w:spacing w:before="240" w:after="60"/>
      <w:jc w:val="center"/>
      <w:outlineLvl w:val="0"/>
    </w:pPr>
    <w:rPr>
      <w:rFonts w:ascii="Cambria" w:hAnsi="Cambria"/>
      <w:b/>
      <w:sz w:val="32"/>
      <w:lang w:val="zh-CN"/>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6">
    <w:name w:val="unnamed11"/>
    <w:qFormat/>
    <w:uiPriority w:val="0"/>
    <w:rPr>
      <w:rFonts w:hint="eastAsia" w:ascii="宋体" w:hAnsi="宋体" w:eastAsia="宋体"/>
      <w:sz w:val="18"/>
    </w:rPr>
  </w:style>
  <w:style w:type="character" w:customStyle="1" w:styleId="27">
    <w:name w:val="read"/>
    <w:basedOn w:val="21"/>
    <w:qFormat/>
    <w:uiPriority w:val="0"/>
  </w:style>
  <w:style w:type="character" w:customStyle="1" w:styleId="28">
    <w:name w:val="标题 Char"/>
    <w:link w:val="18"/>
    <w:qFormat/>
    <w:uiPriority w:val="0"/>
    <w:rPr>
      <w:rFonts w:ascii="Cambria" w:hAnsi="Cambria"/>
      <w:b/>
      <w:kern w:val="2"/>
      <w:sz w:val="32"/>
    </w:rPr>
  </w:style>
  <w:style w:type="character" w:customStyle="1" w:styleId="29">
    <w:name w:val="正文文本 Char"/>
    <w:qFormat/>
    <w:uiPriority w:val="0"/>
    <w:rPr>
      <w:rFonts w:ascii="宋体"/>
      <w:lang w:val="zh-CN" w:eastAsia="zh-CN"/>
    </w:rPr>
  </w:style>
  <w:style w:type="character" w:customStyle="1" w:styleId="30">
    <w:name w:val="页眉 Char"/>
    <w:link w:val="13"/>
    <w:qFormat/>
    <w:uiPriority w:val="0"/>
    <w:rPr>
      <w:rFonts w:eastAsia="宋体"/>
      <w:kern w:val="2"/>
      <w:sz w:val="18"/>
      <w:lang w:val="en-US" w:eastAsia="zh-CN"/>
    </w:rPr>
  </w:style>
  <w:style w:type="paragraph" w:customStyle="1" w:styleId="31">
    <w:name w:val="Char"/>
    <w:basedOn w:val="1"/>
    <w:qFormat/>
    <w:uiPriority w:val="0"/>
  </w:style>
  <w:style w:type="paragraph" w:customStyle="1" w:styleId="32">
    <w:name w:val="Char Char Char Char"/>
    <w:basedOn w:val="1"/>
    <w:qFormat/>
    <w:uiPriority w:val="0"/>
    <w:pPr>
      <w:tabs>
        <w:tab w:val="left" w:pos="360"/>
      </w:tabs>
    </w:pPr>
  </w:style>
  <w:style w:type="paragraph" w:customStyle="1" w:styleId="33">
    <w:name w:val="Char Char1"/>
    <w:basedOn w:val="1"/>
    <w:qFormat/>
    <w:uiPriority w:val="0"/>
  </w:style>
  <w:style w:type="paragraph" w:customStyle="1" w:styleId="34">
    <w:name w:val="unnamed1"/>
    <w:basedOn w:val="1"/>
    <w:qFormat/>
    <w:uiPriority w:val="0"/>
    <w:pPr>
      <w:spacing w:before="60" w:after="60"/>
      <w:ind w:left="15" w:right="15"/>
    </w:pPr>
    <w:rPr>
      <w:rFonts w:hint="eastAsia" w:ascii="宋体" w:hAnsi="宋体"/>
      <w:color w:val="000000"/>
      <w:sz w:val="18"/>
      <w:szCs w:val="18"/>
    </w:rPr>
  </w:style>
  <w:style w:type="paragraph" w:customStyle="1" w:styleId="35">
    <w:name w:val="正文正文"/>
    <w:basedOn w:val="1"/>
    <w:qFormat/>
    <w:uiPriority w:val="0"/>
    <w:pPr>
      <w:spacing w:afterLines="25" w:line="360" w:lineRule="auto"/>
      <w:ind w:firstLine="200" w:firstLineChars="200"/>
    </w:pPr>
    <w:rPr>
      <w:sz w:val="24"/>
    </w:rPr>
  </w:style>
  <w:style w:type="paragraph" w:customStyle="1" w:styleId="36">
    <w:name w:val="Char1"/>
    <w:basedOn w:val="1"/>
    <w:qFormat/>
    <w:uiPriority w:val="0"/>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8">
    <w:name w:val="Char Char"/>
    <w:basedOn w:val="1"/>
    <w:uiPriority w:val="0"/>
  </w:style>
  <w:style w:type="paragraph" w:customStyle="1" w:styleId="39">
    <w:name w:val="Char Char Char"/>
    <w:basedOn w:val="1"/>
    <w:qFormat/>
    <w:uiPriority w:val="0"/>
  </w:style>
  <w:style w:type="paragraph" w:customStyle="1" w:styleId="40">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List_bullet"/>
    <w:basedOn w:val="1"/>
    <w:qFormat/>
    <w:uiPriority w:val="0"/>
    <w:pPr>
      <w:widowControl/>
      <w:tabs>
        <w:tab w:val="left" w:pos="360"/>
      </w:tabs>
      <w:ind w:left="360" w:hanging="360"/>
      <w:jc w:val="left"/>
    </w:pPr>
    <w:rPr>
      <w:kern w:val="0"/>
      <w:sz w:val="24"/>
    </w:rPr>
  </w:style>
  <w:style w:type="paragraph" w:customStyle="1" w:styleId="42">
    <w:name w:val="InfoBlue"/>
    <w:basedOn w:val="1"/>
    <w:qFormat/>
    <w:uiPriority w:val="0"/>
    <w:pPr>
      <w:tabs>
        <w:tab w:val="left" w:pos="420"/>
      </w:tabs>
      <w:spacing w:after="120" w:line="240" w:lineRule="atLeast"/>
      <w:ind w:left="420" w:hanging="420"/>
      <w:jc w:val="left"/>
    </w:pPr>
    <w:rPr>
      <w:rFonts w:ascii="宋体" w:hAnsi="宋体"/>
    </w:rPr>
  </w:style>
  <w:style w:type="paragraph" w:customStyle="1" w:styleId="43">
    <w:name w:val="正文所"/>
    <w:basedOn w:val="1"/>
    <w:qFormat/>
    <w:uiPriority w:val="0"/>
    <w:pPr>
      <w:spacing w:line="360" w:lineRule="auto"/>
      <w:ind w:firstLine="420" w:firstLineChars="200"/>
    </w:pPr>
    <w:rPr>
      <w:rFonts w:ascii="宋体"/>
    </w:rPr>
  </w:style>
  <w:style w:type="paragraph" w:customStyle="1" w:styleId="44">
    <w:name w:val="修订1"/>
    <w:hidden/>
    <w:semiHidden/>
    <w:qFormat/>
    <w:uiPriority w:val="99"/>
    <w:rPr>
      <w:rFonts w:ascii="Times New Roman" w:hAnsi="Times New Roman" w:eastAsia="宋体" w:cs="Times New Roman"/>
      <w:kern w:val="2"/>
      <w:sz w:val="21"/>
      <w:lang w:val="en-US" w:eastAsia="zh-CN" w:bidi="ar-SA"/>
    </w:rPr>
  </w:style>
  <w:style w:type="paragraph" w:customStyle="1" w:styleId="45">
    <w:name w:val="Char2"/>
    <w:basedOn w:val="1"/>
    <w:qFormat/>
    <w:uiPriority w:val="0"/>
    <w:rPr>
      <w:szCs w:val="24"/>
    </w:rPr>
  </w:style>
  <w:style w:type="paragraph" w:styleId="46">
    <w:name w:val="List Paragraph"/>
    <w:basedOn w:val="1"/>
    <w:qFormat/>
    <w:uiPriority w:val="34"/>
    <w:pPr>
      <w:ind w:firstLine="420" w:firstLineChars="200"/>
    </w:pPr>
  </w:style>
  <w:style w:type="paragraph" w:customStyle="1" w:styleId="47">
    <w:name w:val="修订11"/>
    <w:hidden/>
    <w:semiHidden/>
    <w:qFormat/>
    <w:uiPriority w:val="99"/>
    <w:rPr>
      <w:rFonts w:ascii="Times New Roman" w:hAnsi="Times New Roman" w:eastAsia="宋体" w:cs="Times New Roman"/>
      <w:kern w:val="2"/>
      <w:sz w:val="21"/>
      <w:lang w:val="en-US" w:eastAsia="zh-CN" w:bidi="ar-SA"/>
    </w:rPr>
  </w:style>
  <w:style w:type="paragraph" w:customStyle="1" w:styleId="48">
    <w:name w:val="列出段落1"/>
    <w:basedOn w:val="1"/>
    <w:qFormat/>
    <w:uiPriority w:val="34"/>
    <w:pPr>
      <w:ind w:firstLine="420" w:firstLineChars="200"/>
    </w:pPr>
  </w:style>
  <w:style w:type="character" w:customStyle="1" w:styleId="49">
    <w:name w:val="批注文字 Char"/>
    <w:link w:val="7"/>
    <w:qFormat/>
    <w:uiPriority w:val="0"/>
    <w:rPr>
      <w:kern w:val="2"/>
      <w:sz w:val="21"/>
    </w:rPr>
  </w:style>
  <w:style w:type="paragraph" w:customStyle="1" w:styleId="50">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AF19B-3F78-42CA-BF94-BD616B05B4ED}">
  <ds:schemaRefs/>
</ds:datastoreItem>
</file>

<file path=customXml/itemProps3.xml><?xml version="1.0" encoding="utf-8"?>
<ds:datastoreItem xmlns:ds="http://schemas.openxmlformats.org/officeDocument/2006/customXml" ds:itemID="{E06F9279-9943-4B0A-8929-CF5134972B91}">
  <ds:schemaRefs/>
</ds:datastoreItem>
</file>

<file path=docProps/app.xml><?xml version="1.0" encoding="utf-8"?>
<Properties xmlns="http://schemas.openxmlformats.org/officeDocument/2006/extended-properties" xmlns:vt="http://schemas.openxmlformats.org/officeDocument/2006/docPropsVTypes">
  <Template>Normal</Template>
  <Company>GFFUNDS</Company>
  <Pages>110</Pages>
  <Words>10772</Words>
  <Characters>61402</Characters>
  <Lines>511</Lines>
  <Paragraphs>144</Paragraphs>
  <TotalTime>370</TotalTime>
  <ScaleCrop>false</ScaleCrop>
  <LinksUpToDate>false</LinksUpToDate>
  <CharactersWithSpaces>72030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2020-05-21T02:23:00Z</dcterms:created>
  <dc:creator>高远</dc:creator>
  <cp:lastModifiedBy>张干</cp:lastModifiedBy>
  <cp:lastPrinted>2020-07-01T05:47:00Z</cp:lastPrinted>
  <dcterms:modified xsi:type="dcterms:W3CDTF">2021-08-05T09:26:04Z</dcterms:modified>
  <dc:title>___证券投资基金招募说明书1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3948E0581FB04B17BDA376803CC8545F</vt:lpwstr>
  </property>
</Properties>
</file>