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 w:val="44"/>
        </w:rPr>
      </w:pPr>
    </w:p>
    <w:p>
      <w:pPr>
        <w:jc w:val="center"/>
        <w:rPr>
          <w:b/>
          <w:sz w:val="52"/>
        </w:rPr>
      </w:pPr>
    </w:p>
    <w:p>
      <w:pPr>
        <w:jc w:val="center"/>
        <w:rPr>
          <w:b/>
          <w:sz w:val="52"/>
        </w:rPr>
      </w:pPr>
      <w:r>
        <w:rPr>
          <w:rFonts w:hint="eastAsia"/>
          <w:b/>
          <w:sz w:val="52"/>
        </w:rPr>
        <w:t>华安</w:t>
      </w:r>
      <w:r>
        <w:rPr>
          <w:b/>
          <w:sz w:val="52"/>
        </w:rPr>
        <w:t>基金管理有限公司</w:t>
      </w:r>
    </w:p>
    <w:p>
      <w:pPr>
        <w:rPr>
          <w:b/>
        </w:rPr>
      </w:pPr>
    </w:p>
    <w:p>
      <w:pPr>
        <w:jc w:val="center"/>
        <w:rPr>
          <w:b/>
          <w:sz w:val="52"/>
        </w:rPr>
      </w:pPr>
    </w:p>
    <w:p>
      <w:pPr>
        <w:jc w:val="center"/>
        <w:rPr>
          <w:b/>
          <w:sz w:val="48"/>
        </w:rPr>
      </w:pPr>
      <w:bookmarkStart w:id="0" w:name="_Toc139991724"/>
      <w:bookmarkStart w:id="1" w:name="_Toc123701381"/>
      <w:bookmarkStart w:id="2" w:name="_Toc123112261"/>
      <w:bookmarkStart w:id="3" w:name="_Toc139992299"/>
      <w:bookmarkStart w:id="4" w:name="_Toc123112222"/>
      <w:r>
        <w:rPr>
          <w:rFonts w:hint="eastAsia"/>
          <w:b/>
          <w:sz w:val="48"/>
        </w:rPr>
        <w:t>华安添福18个月持有期混合型</w:t>
      </w:r>
      <w:r>
        <w:rPr>
          <w:b/>
          <w:sz w:val="48"/>
        </w:rPr>
        <w:t>证券</w:t>
      </w:r>
    </w:p>
    <w:p>
      <w:pPr>
        <w:jc w:val="center"/>
        <w:rPr>
          <w:b/>
          <w:sz w:val="48"/>
        </w:rPr>
      </w:pPr>
      <w:r>
        <w:rPr>
          <w:b/>
          <w:sz w:val="48"/>
        </w:rPr>
        <w:t>投资基金</w:t>
      </w:r>
      <w:bookmarkEnd w:id="0"/>
      <w:bookmarkEnd w:id="1"/>
      <w:bookmarkEnd w:id="2"/>
      <w:bookmarkEnd w:id="3"/>
      <w:bookmarkEnd w:id="4"/>
      <w:r>
        <w:rPr>
          <w:rFonts w:hint="eastAsia"/>
          <w:b/>
          <w:sz w:val="48"/>
        </w:rPr>
        <w:t>基金合同</w:t>
      </w:r>
    </w:p>
    <w:p>
      <w:pPr>
        <w:jc w:val="center"/>
        <w:rPr>
          <w:b/>
          <w:sz w:val="48"/>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5" w:name="_Toc123701383"/>
      <w:bookmarkStart w:id="6" w:name="_Toc123112263"/>
      <w:bookmarkStart w:id="7" w:name="_Toc123112224"/>
      <w:bookmarkStart w:id="8" w:name="_Toc139992301"/>
      <w:bookmarkStart w:id="9" w:name="_Toc139991726"/>
      <w:r>
        <w:rPr>
          <w:b/>
          <w:sz w:val="36"/>
        </w:rPr>
        <w:t>基金管理人：</w:t>
      </w:r>
      <w:bookmarkEnd w:id="5"/>
      <w:bookmarkEnd w:id="6"/>
      <w:bookmarkEnd w:id="7"/>
      <w:bookmarkEnd w:id="8"/>
      <w:bookmarkEnd w:id="9"/>
      <w:r>
        <w:rPr>
          <w:b/>
          <w:sz w:val="36"/>
        </w:rPr>
        <w:t>华安基金管理有限公司</w:t>
      </w:r>
    </w:p>
    <w:p>
      <w:pPr>
        <w:jc w:val="center"/>
        <w:rPr>
          <w:b/>
          <w:sz w:val="36"/>
        </w:rPr>
      </w:pPr>
      <w:bookmarkStart w:id="10" w:name="_Toc123112225"/>
      <w:bookmarkStart w:id="11" w:name="_Toc139992302"/>
      <w:bookmarkStart w:id="12" w:name="_Toc139991727"/>
      <w:bookmarkStart w:id="13" w:name="_Toc123112264"/>
      <w:bookmarkStart w:id="14" w:name="_Toc123701384"/>
      <w:r>
        <w:rPr>
          <w:b/>
          <w:sz w:val="36"/>
        </w:rPr>
        <w:t>基金托管人：</w:t>
      </w:r>
      <w:bookmarkEnd w:id="10"/>
      <w:bookmarkEnd w:id="11"/>
      <w:bookmarkEnd w:id="12"/>
      <w:bookmarkEnd w:id="13"/>
      <w:bookmarkEnd w:id="14"/>
      <w:r>
        <w:rPr>
          <w:rFonts w:hint="eastAsia"/>
          <w:b/>
          <w:sz w:val="36"/>
        </w:rPr>
        <w:t>中国邮政储蓄银行股份有限公司</w:t>
      </w:r>
    </w:p>
    <w:p>
      <w:pPr>
        <w:jc w:val="center"/>
        <w:rPr>
          <w:bCs/>
          <w:sz w:val="32"/>
        </w:rPr>
      </w:pPr>
    </w:p>
    <w:p>
      <w:pPr>
        <w:jc w:val="center"/>
        <w:rPr>
          <w:bCs/>
          <w:sz w:val="28"/>
        </w:rPr>
      </w:pPr>
      <w:bookmarkStart w:id="15" w:name="_Toc123701386"/>
      <w:bookmarkStart w:id="16" w:name="_Toc139991729"/>
      <w:bookmarkStart w:id="17" w:name="_Toc123112266"/>
      <w:bookmarkStart w:id="18" w:name="_Toc123112227"/>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二零二零年</w:t>
      </w:r>
      <w:r>
        <w:rPr>
          <w:rFonts w:hint="eastAsia" w:ascii="宋体"/>
          <w:b/>
          <w:bCs/>
          <w:sz w:val="30"/>
          <w:lang w:val="en-US" w:eastAsia="zh-CN"/>
        </w:rPr>
        <w:t>十</w:t>
      </w:r>
      <w:r>
        <w:rPr>
          <w:rFonts w:hint="eastAsia" w:ascii="宋体"/>
          <w:b/>
          <w:bCs/>
          <w:sz w:val="30"/>
        </w:rPr>
        <w:t>月</w:t>
      </w:r>
    </w:p>
    <w:p>
      <w:pPr>
        <w:jc w:val="both"/>
        <w:rPr>
          <w:bCs/>
          <w:sz w:val="28"/>
        </w:rPr>
        <w:sectPr>
          <w:headerReference r:id="rId6" w:type="default"/>
          <w:footerReference r:id="rId7" w:type="default"/>
          <w:pgSz w:w="11906" w:h="16838"/>
          <w:pgMar w:top="1440" w:right="1800" w:bottom="1440" w:left="1800" w:header="851" w:footer="992" w:gutter="0"/>
          <w:pgNumType w:start="1"/>
          <w:cols w:space="720" w:num="1"/>
          <w:titlePg/>
          <w:docGrid w:type="lines" w:linePitch="312" w:charSpace="0"/>
        </w:sectPr>
      </w:pPr>
    </w:p>
    <w:p>
      <w:pPr>
        <w:jc w:val="center"/>
        <w:rPr>
          <w:b/>
          <w:bCs/>
          <w:sz w:val="28"/>
        </w:rPr>
      </w:pPr>
      <w:r>
        <w:rPr>
          <w:rFonts w:hint="eastAsia"/>
          <w:b/>
          <w:bCs/>
          <w:sz w:val="28"/>
        </w:rPr>
        <w:t>目录</w:t>
      </w:r>
      <w:bookmarkEnd w:id="15"/>
      <w:bookmarkEnd w:id="16"/>
      <w:bookmarkEnd w:id="17"/>
      <w:bookmarkEnd w:id="18"/>
    </w:p>
    <w:p>
      <w:pPr>
        <w:pStyle w:val="15"/>
        <w:rPr>
          <w:rFonts w:asciiTheme="minorHAnsi" w:hAnsiTheme="minorHAnsi" w:eastAsiaTheme="minorEastAsia" w:cstheme="minorBidi"/>
          <w:szCs w:val="22"/>
        </w:rPr>
      </w:pPr>
      <w:r>
        <w:rPr>
          <w:rFonts w:eastAsiaTheme="minorEastAsia"/>
          <w:bCs/>
          <w:sz w:val="24"/>
          <w:szCs w:val="24"/>
        </w:rPr>
        <w:fldChar w:fldCharType="begin"/>
      </w:r>
      <w:r>
        <w:rPr>
          <w:rFonts w:eastAsiaTheme="minorEastAsia"/>
          <w:bCs/>
          <w:sz w:val="24"/>
          <w:szCs w:val="24"/>
        </w:rPr>
        <w:instrText xml:space="preserve"> TOC \o "1-1" \h \z \u </w:instrText>
      </w:r>
      <w:r>
        <w:rPr>
          <w:rFonts w:eastAsiaTheme="minorEastAsia"/>
          <w:bCs/>
          <w:sz w:val="24"/>
          <w:szCs w:val="24"/>
        </w:rPr>
        <w:fldChar w:fldCharType="separate"/>
      </w:r>
      <w:r>
        <w:fldChar w:fldCharType="begin"/>
      </w:r>
      <w:r>
        <w:instrText xml:space="preserve"> HYPERLINK \l "_Toc20237400" </w:instrText>
      </w:r>
      <w:r>
        <w:fldChar w:fldCharType="separate"/>
      </w:r>
      <w:r>
        <w:rPr>
          <w:rStyle w:val="23"/>
        </w:rPr>
        <w:t>第一部分 前言</w:t>
      </w:r>
      <w:r>
        <w:tab/>
      </w:r>
      <w:r>
        <w:fldChar w:fldCharType="begin"/>
      </w:r>
      <w:r>
        <w:instrText xml:space="preserve"> PAGEREF _Toc20237400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"_Toc20237401" </w:instrText>
      </w:r>
      <w:r>
        <w:fldChar w:fldCharType="separate"/>
      </w:r>
      <w:r>
        <w:rPr>
          <w:rStyle w:val="23"/>
        </w:rPr>
        <w:t>第二部分 释义</w:t>
      </w:r>
      <w:r>
        <w:tab/>
      </w:r>
      <w:r>
        <w:fldChar w:fldCharType="begin"/>
      </w:r>
      <w:r>
        <w:instrText xml:space="preserve"> PAGEREF _Toc20237401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"_Toc20237402" </w:instrText>
      </w:r>
      <w:r>
        <w:fldChar w:fldCharType="separate"/>
      </w:r>
      <w:r>
        <w:rPr>
          <w:rStyle w:val="23"/>
        </w:rPr>
        <w:t>第三部分 基金的基本情况</w:t>
      </w:r>
      <w:r>
        <w:tab/>
      </w:r>
      <w:r>
        <w:fldChar w:fldCharType="begin"/>
      </w:r>
      <w:r>
        <w:instrText xml:space="preserve"> PAGEREF _Toc20237402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"_Toc20237403" </w:instrText>
      </w:r>
      <w:r>
        <w:fldChar w:fldCharType="separate"/>
      </w:r>
      <w:r>
        <w:rPr>
          <w:rStyle w:val="23"/>
        </w:rPr>
        <w:t>第四部分 基金份额的发售</w:t>
      </w:r>
      <w:r>
        <w:tab/>
      </w:r>
      <w:r>
        <w:fldChar w:fldCharType="begin"/>
      </w:r>
      <w:r>
        <w:instrText xml:space="preserve"> PAGEREF _Toc20237403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"_Toc20237404" </w:instrText>
      </w:r>
      <w:r>
        <w:fldChar w:fldCharType="separate"/>
      </w:r>
      <w:r>
        <w:rPr>
          <w:rStyle w:val="23"/>
        </w:rPr>
        <w:t>第五部分 基金备案</w:t>
      </w:r>
      <w:r>
        <w:tab/>
      </w:r>
      <w:r>
        <w:fldChar w:fldCharType="begin"/>
      </w:r>
      <w:r>
        <w:instrText xml:space="preserve"> PAGEREF _Toc20237404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"_Toc20237405" </w:instrText>
      </w:r>
      <w:r>
        <w:fldChar w:fldCharType="separate"/>
      </w:r>
      <w:r>
        <w:rPr>
          <w:rStyle w:val="23"/>
        </w:rPr>
        <w:t>第六部分 基金份额的申购与赎回</w:t>
      </w:r>
      <w:r>
        <w:tab/>
      </w:r>
      <w:r>
        <w:fldChar w:fldCharType="begin"/>
      </w:r>
      <w:r>
        <w:instrText xml:space="preserve"> PAGEREF _Toc20237405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"_Toc20237406" </w:instrText>
      </w:r>
      <w:r>
        <w:fldChar w:fldCharType="separate"/>
      </w:r>
      <w:r>
        <w:rPr>
          <w:rStyle w:val="23"/>
        </w:rPr>
        <w:t>第七部分 基金合同当事人及权利义务</w:t>
      </w:r>
      <w:r>
        <w:tab/>
      </w:r>
      <w:r>
        <w:fldChar w:fldCharType="begin"/>
      </w:r>
      <w:r>
        <w:instrText xml:space="preserve"> PAGEREF _Toc20237406 \h </w:instrText>
      </w:r>
      <w:r>
        <w:fldChar w:fldCharType="separate"/>
      </w:r>
      <w:r>
        <w:t>22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"_Toc20237407" </w:instrText>
      </w:r>
      <w:r>
        <w:fldChar w:fldCharType="separate"/>
      </w:r>
      <w:r>
        <w:rPr>
          <w:rStyle w:val="23"/>
        </w:rPr>
        <w:t>第八部分 基金份额持有人大会</w:t>
      </w:r>
      <w:r>
        <w:tab/>
      </w:r>
      <w:r>
        <w:fldChar w:fldCharType="begin"/>
      </w:r>
      <w:r>
        <w:instrText xml:space="preserve"> PAGEREF _Toc20237407 \h </w:instrText>
      </w:r>
      <w:r>
        <w:fldChar w:fldCharType="separate"/>
      </w:r>
      <w:r>
        <w:t>29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"_Toc20237408" </w:instrText>
      </w:r>
      <w:r>
        <w:fldChar w:fldCharType="separate"/>
      </w:r>
      <w:r>
        <w:rPr>
          <w:rStyle w:val="23"/>
        </w:rPr>
        <w:t>第九部分 基金管理人、基金托管人的更换条件和程序</w:t>
      </w:r>
      <w:r>
        <w:tab/>
      </w:r>
      <w:r>
        <w:fldChar w:fldCharType="begin"/>
      </w:r>
      <w:r>
        <w:instrText xml:space="preserve"> PAGEREF _Toc20237408 \h </w:instrText>
      </w:r>
      <w:r>
        <w:fldChar w:fldCharType="separate"/>
      </w:r>
      <w:r>
        <w:t>37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"_Toc20237409" </w:instrText>
      </w:r>
      <w:r>
        <w:fldChar w:fldCharType="separate"/>
      </w:r>
      <w:r>
        <w:rPr>
          <w:rStyle w:val="23"/>
        </w:rPr>
        <w:t>第十部分 基金的托管</w:t>
      </w:r>
      <w:r>
        <w:tab/>
      </w:r>
      <w:r>
        <w:fldChar w:fldCharType="begin"/>
      </w:r>
      <w:r>
        <w:instrText xml:space="preserve"> PAGEREF _Toc20237409 \h </w:instrText>
      </w:r>
      <w:r>
        <w:fldChar w:fldCharType="separate"/>
      </w:r>
      <w:r>
        <w:t>40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"_Toc20237410" </w:instrText>
      </w:r>
      <w:r>
        <w:fldChar w:fldCharType="separate"/>
      </w:r>
      <w:r>
        <w:rPr>
          <w:rStyle w:val="23"/>
        </w:rPr>
        <w:t>第十一部分 基金份额的登记</w:t>
      </w:r>
      <w:r>
        <w:tab/>
      </w:r>
      <w:r>
        <w:fldChar w:fldCharType="begin"/>
      </w:r>
      <w:r>
        <w:instrText xml:space="preserve"> PAGEREF _Toc20237410 \h </w:instrText>
      </w:r>
      <w:r>
        <w:fldChar w:fldCharType="separate"/>
      </w:r>
      <w:r>
        <w:t>41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"_Toc20237411" </w:instrText>
      </w:r>
      <w:r>
        <w:fldChar w:fldCharType="separate"/>
      </w:r>
      <w:r>
        <w:rPr>
          <w:rStyle w:val="23"/>
        </w:rPr>
        <w:t>第十二部分 基金的投资</w:t>
      </w:r>
      <w:r>
        <w:tab/>
      </w:r>
      <w:r>
        <w:fldChar w:fldCharType="begin"/>
      </w:r>
      <w:r>
        <w:instrText xml:space="preserve"> PAGEREF _Toc20237411 \h </w:instrText>
      </w:r>
      <w:r>
        <w:fldChar w:fldCharType="separate"/>
      </w:r>
      <w:r>
        <w:t>43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"_Toc20237412" </w:instrText>
      </w:r>
      <w:r>
        <w:fldChar w:fldCharType="separate"/>
      </w:r>
      <w:r>
        <w:rPr>
          <w:rStyle w:val="23"/>
        </w:rPr>
        <w:t>第十三部分 基金的财产</w:t>
      </w:r>
      <w:r>
        <w:tab/>
      </w:r>
      <w:r>
        <w:fldChar w:fldCharType="begin"/>
      </w:r>
      <w:r>
        <w:instrText xml:space="preserve"> PAGEREF _Toc20237412 \h </w:instrText>
      </w:r>
      <w:r>
        <w:fldChar w:fldCharType="separate"/>
      </w:r>
      <w:r>
        <w:t>50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"_Toc20237413" </w:instrText>
      </w:r>
      <w:r>
        <w:fldChar w:fldCharType="separate"/>
      </w:r>
      <w:r>
        <w:rPr>
          <w:rStyle w:val="23"/>
        </w:rPr>
        <w:t>第十四部分 基金资产估值</w:t>
      </w:r>
      <w:r>
        <w:tab/>
      </w:r>
      <w:r>
        <w:fldChar w:fldCharType="begin"/>
      </w:r>
      <w:r>
        <w:instrText xml:space="preserve"> PAGEREF _Toc20237413 \h </w:instrText>
      </w:r>
      <w:r>
        <w:fldChar w:fldCharType="separate"/>
      </w:r>
      <w:r>
        <w:t>51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"_Toc20237414" </w:instrText>
      </w:r>
      <w:r>
        <w:fldChar w:fldCharType="separate"/>
      </w:r>
      <w:r>
        <w:rPr>
          <w:rStyle w:val="23"/>
        </w:rPr>
        <w:t>第十五部分 基金费用与税收</w:t>
      </w:r>
      <w:r>
        <w:tab/>
      </w:r>
      <w:r>
        <w:fldChar w:fldCharType="begin"/>
      </w:r>
      <w:r>
        <w:instrText xml:space="preserve"> PAGEREF _Toc20237414 \h </w:instrText>
      </w:r>
      <w:r>
        <w:fldChar w:fldCharType="separate"/>
      </w:r>
      <w:r>
        <w:t>57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"_Toc20237415" </w:instrText>
      </w:r>
      <w:r>
        <w:fldChar w:fldCharType="separate"/>
      </w:r>
      <w:r>
        <w:rPr>
          <w:rStyle w:val="23"/>
        </w:rPr>
        <w:t>第十六部分 基金的收益与分配</w:t>
      </w:r>
      <w:r>
        <w:tab/>
      </w:r>
      <w:r>
        <w:fldChar w:fldCharType="begin"/>
      </w:r>
      <w:r>
        <w:instrText xml:space="preserve"> PAGEREF _Toc20237415 \h </w:instrText>
      </w:r>
      <w:r>
        <w:fldChar w:fldCharType="separate"/>
      </w:r>
      <w:r>
        <w:t>60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"_Toc20237416" </w:instrText>
      </w:r>
      <w:r>
        <w:fldChar w:fldCharType="separate"/>
      </w:r>
      <w:r>
        <w:rPr>
          <w:rStyle w:val="23"/>
        </w:rPr>
        <w:t>第十七部分 基金的会计与审计</w:t>
      </w:r>
      <w:r>
        <w:tab/>
      </w:r>
      <w:r>
        <w:fldChar w:fldCharType="begin"/>
      </w:r>
      <w:r>
        <w:instrText xml:space="preserve"> PAGEREF _Toc20237416 \h </w:instrText>
      </w:r>
      <w:r>
        <w:fldChar w:fldCharType="separate"/>
      </w:r>
      <w:r>
        <w:t>62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"_Toc20237417" </w:instrText>
      </w:r>
      <w:r>
        <w:fldChar w:fldCharType="separate"/>
      </w:r>
      <w:r>
        <w:rPr>
          <w:rStyle w:val="23"/>
        </w:rPr>
        <w:t>第十八部分 基金的信息披露</w:t>
      </w:r>
      <w:r>
        <w:tab/>
      </w:r>
      <w:r>
        <w:fldChar w:fldCharType="begin"/>
      </w:r>
      <w:r>
        <w:instrText xml:space="preserve"> PAGEREF _Toc20237417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"_Toc20237418" </w:instrText>
      </w:r>
      <w:r>
        <w:fldChar w:fldCharType="separate"/>
      </w:r>
      <w:r>
        <w:rPr>
          <w:rStyle w:val="23"/>
        </w:rPr>
        <w:t>第十九部分 基金合同的变更、终止与基金财产的清算</w:t>
      </w:r>
      <w:r>
        <w:tab/>
      </w:r>
      <w:r>
        <w:fldChar w:fldCharType="begin"/>
      </w:r>
      <w:r>
        <w:instrText xml:space="preserve"> PAGEREF _Toc20237418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"_Toc20237419" </w:instrText>
      </w:r>
      <w:r>
        <w:fldChar w:fldCharType="separate"/>
      </w:r>
      <w:r>
        <w:rPr>
          <w:rStyle w:val="23"/>
        </w:rPr>
        <w:t>第二十部分 违约责任</w:t>
      </w:r>
      <w:r>
        <w:tab/>
      </w:r>
      <w:r>
        <w:fldChar w:fldCharType="begin"/>
      </w:r>
      <w:r>
        <w:instrText xml:space="preserve"> PAGEREF _Toc20237419 \h </w:instrText>
      </w:r>
      <w:r>
        <w:fldChar w:fldCharType="separate"/>
      </w:r>
      <w:r>
        <w:t>72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"_Toc20237420" </w:instrText>
      </w:r>
      <w:r>
        <w:fldChar w:fldCharType="separate"/>
      </w:r>
      <w:r>
        <w:rPr>
          <w:rStyle w:val="23"/>
        </w:rPr>
        <w:t>第二十一部分 争议的处理和适用的法律</w:t>
      </w:r>
      <w:r>
        <w:tab/>
      </w:r>
      <w:r>
        <w:fldChar w:fldCharType="begin"/>
      </w:r>
      <w:r>
        <w:instrText xml:space="preserve"> PAGEREF _Toc20237420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"_Toc20237421" </w:instrText>
      </w:r>
      <w:r>
        <w:fldChar w:fldCharType="separate"/>
      </w:r>
      <w:r>
        <w:rPr>
          <w:rStyle w:val="23"/>
        </w:rPr>
        <w:t>第二十二部分 基金合同的效力</w:t>
      </w:r>
      <w:r>
        <w:tab/>
      </w:r>
      <w:r>
        <w:fldChar w:fldCharType="begin"/>
      </w:r>
      <w:r>
        <w:instrText xml:space="preserve"> PAGEREF _Toc20237421 \h </w:instrText>
      </w:r>
      <w:r>
        <w:fldChar w:fldCharType="separate"/>
      </w:r>
      <w:r>
        <w:t>74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"_Toc20237422" </w:instrText>
      </w:r>
      <w:r>
        <w:fldChar w:fldCharType="separate"/>
      </w:r>
      <w:r>
        <w:rPr>
          <w:rStyle w:val="23"/>
        </w:rPr>
        <w:t>第二十三部分 其他事项</w:t>
      </w:r>
      <w:r>
        <w:tab/>
      </w:r>
      <w:r>
        <w:fldChar w:fldCharType="begin"/>
      </w:r>
      <w:r>
        <w:instrText xml:space="preserve"> PAGEREF _Toc20237422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"_Toc20237423" </w:instrText>
      </w:r>
      <w:r>
        <w:fldChar w:fldCharType="separate"/>
      </w:r>
      <w:r>
        <w:rPr>
          <w:rStyle w:val="23"/>
        </w:rPr>
        <w:t>第二十四部分 基金合同内容摘要</w:t>
      </w:r>
      <w:r>
        <w:tab/>
      </w:r>
      <w:r>
        <w:fldChar w:fldCharType="begin"/>
      </w:r>
      <w:r>
        <w:instrText xml:space="preserve"> PAGEREF _Toc20237423 \h </w:instrText>
      </w:r>
      <w:r>
        <w:fldChar w:fldCharType="separate"/>
      </w:r>
      <w:r>
        <w:t>76</w:t>
      </w:r>
      <w:r>
        <w:fldChar w:fldCharType="end"/>
      </w:r>
      <w:r>
        <w:fldChar w:fldCharType="end"/>
      </w:r>
    </w:p>
    <w:p>
      <w:pPr>
        <w:pStyle w:val="2"/>
        <w:spacing w:before="0" w:after="0"/>
        <w:jc w:val="left"/>
        <w:rPr>
          <w:rFonts w:ascii="Times New Roman" w:eastAsiaTheme="minorEastAsia"/>
          <w:b w:val="0"/>
          <w:bCs/>
          <w:color w:val="auto"/>
          <w:kern w:val="2"/>
          <w:szCs w:val="24"/>
        </w:rPr>
      </w:pPr>
      <w:r>
        <w:rPr>
          <w:rFonts w:ascii="Times New Roman" w:eastAsiaTheme="minorEastAsia"/>
          <w:b w:val="0"/>
          <w:bCs/>
          <w:color w:val="auto"/>
          <w:kern w:val="2"/>
          <w:szCs w:val="24"/>
        </w:rPr>
        <w:fldChar w:fldCharType="end"/>
      </w:r>
      <w:bookmarkStart w:id="19" w:name="_Toc139991730"/>
      <w:bookmarkStart w:id="20" w:name="_Toc32639"/>
      <w:bookmarkStart w:id="21" w:name="_Toc15517"/>
      <w:bookmarkStart w:id="22" w:name="_Toc8727"/>
      <w:bookmarkStart w:id="23" w:name="_Toc6306"/>
      <w:bookmarkStart w:id="24" w:name="_Toc26897"/>
      <w:bookmarkStart w:id="25" w:name="_Toc141703880"/>
      <w:bookmarkStart w:id="26" w:name="_Toc29629"/>
      <w:bookmarkStart w:id="27" w:name="_Toc4867"/>
      <w:bookmarkStart w:id="28" w:name="_Toc30935"/>
      <w:bookmarkStart w:id="29" w:name="_Toc4966"/>
      <w:bookmarkStart w:id="30" w:name="_Toc23386"/>
      <w:bookmarkStart w:id="31" w:name="_Toc123701389"/>
      <w:bookmarkStart w:id="32" w:name="_Toc123112268"/>
      <w:bookmarkStart w:id="33" w:name="_Toc123112229"/>
      <w:bookmarkStart w:id="34" w:name="_Toc233456271"/>
    </w:p>
    <w:p>
      <w:pPr>
        <w:widowControl/>
        <w:jc w:val="left"/>
        <w:rPr>
          <w:rFonts w:ascii="Times New Roman"/>
          <w:b w:val="0"/>
          <w:bCs/>
          <w:color w:val="auto"/>
          <w:kern w:val="2"/>
          <w:szCs w:val="24"/>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r>
        <w:rPr>
          <w:rFonts w:eastAsiaTheme="minorEastAsia"/>
          <w:b/>
          <w:bCs/>
          <w:szCs w:val="24"/>
        </w:rPr>
        <w:br w:type="page"/>
      </w:r>
    </w:p>
    <w:p>
      <w:pPr>
        <w:pStyle w:val="2"/>
        <w:spacing w:before="0" w:after="0"/>
        <w:jc w:val="center"/>
        <w:rPr>
          <w:rFonts w:ascii="Times New Roman"/>
          <w:color w:val="auto"/>
          <w:sz w:val="30"/>
        </w:rPr>
      </w:pPr>
      <w:bookmarkStart w:id="35" w:name="_Toc481653672"/>
      <w:bookmarkStart w:id="36" w:name="_Toc20237400"/>
      <w:r>
        <w:rPr>
          <w:rFonts w:ascii="Times New Roman"/>
          <w:color w:val="auto"/>
          <w:sz w:val="30"/>
        </w:rPr>
        <w:t>第一部分</w:t>
      </w:r>
      <w:r>
        <w:rPr>
          <w:rFonts w:hint="eastAsia"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bCs/>
        </w:rPr>
      </w:pPr>
      <w:bookmarkStart w:id="37" w:name="_Toc139991731"/>
    </w:p>
    <w:bookmarkEnd w:id="31"/>
    <w:bookmarkEnd w:id="32"/>
    <w:bookmarkEnd w:id="33"/>
    <w:bookmarkEnd w:id="37"/>
    <w:p>
      <w:pPr>
        <w:spacing w:line="360" w:lineRule="auto"/>
        <w:ind w:firstLine="480" w:firstLineChars="200"/>
        <w:rPr>
          <w:bCs/>
          <w:sz w:val="24"/>
        </w:rPr>
      </w:pPr>
      <w:bookmarkStart w:id="38"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w:t>
      </w:r>
      <w:r>
        <w:rPr>
          <w:rFonts w:hint="eastAsia"/>
          <w:bCs/>
          <w:sz w:val="24"/>
        </w:rPr>
        <w:t>“</w:t>
      </w:r>
      <w:r>
        <w:rPr>
          <w:bCs/>
          <w:sz w:val="24"/>
        </w:rPr>
        <w:t>《合同法》</w:t>
      </w:r>
      <w:r>
        <w:rPr>
          <w:rFonts w:hint="eastAsia"/>
          <w:bCs/>
          <w:sz w:val="24"/>
        </w:rPr>
        <w:t>”</w:t>
      </w:r>
      <w:r>
        <w:rPr>
          <w:bCs/>
          <w:sz w:val="24"/>
        </w:rPr>
        <w:t>)、《中华人民共和国证券投资基金法》(以下简称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证券投资基金运作管理办法》(以下简称</w:t>
      </w:r>
      <w:r>
        <w:rPr>
          <w:rFonts w:hint="eastAsia"/>
          <w:bCs/>
          <w:sz w:val="24"/>
        </w:rPr>
        <w:t>“</w:t>
      </w:r>
      <w:r>
        <w:rPr>
          <w:bCs/>
          <w:sz w:val="24"/>
        </w:rPr>
        <w:t>《运作办法》</w:t>
      </w:r>
      <w:r>
        <w:rPr>
          <w:rFonts w:hint="eastAsia"/>
          <w:bCs/>
          <w:sz w:val="24"/>
        </w:rPr>
        <w:t>”</w:t>
      </w:r>
      <w:r>
        <w:rPr>
          <w:bCs/>
          <w:sz w:val="24"/>
        </w:rPr>
        <w:t>)、《证券投资基金销售管理办法》(以下简称</w:t>
      </w:r>
      <w:r>
        <w:rPr>
          <w:rFonts w:hint="eastAsia"/>
          <w:bCs/>
          <w:sz w:val="24"/>
        </w:rPr>
        <w:t>“</w:t>
      </w:r>
      <w:r>
        <w:rPr>
          <w:bCs/>
          <w:sz w:val="24"/>
        </w:rPr>
        <w:t>《销售办法》</w:t>
      </w:r>
      <w:r>
        <w:rPr>
          <w:rFonts w:hint="eastAsia"/>
          <w:bCs/>
          <w:sz w:val="24"/>
        </w:rPr>
        <w:t>”</w:t>
      </w:r>
      <w:r>
        <w:rPr>
          <w:bCs/>
          <w:sz w:val="24"/>
        </w:rPr>
        <w:t>)、《</w:t>
      </w:r>
      <w:r>
        <w:rPr>
          <w:rFonts w:hint="eastAsia"/>
          <w:bCs/>
          <w:sz w:val="24"/>
        </w:rPr>
        <w:t>公开募集</w:t>
      </w:r>
      <w:r>
        <w:rPr>
          <w:bCs/>
          <w:sz w:val="24"/>
        </w:rPr>
        <w:t>证券投资基金信息披露管理办法》(以下简称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、《公开募集开放式证券投资基金流动性风险管理规定》（以下简称“《流动性风险管理规定》”）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三、华安添福18个月持有期混合型</w:t>
      </w:r>
      <w:r>
        <w:rPr>
          <w:bCs/>
          <w:sz w:val="24"/>
        </w:rPr>
        <w:t>证券投资基金由基金管理人依照《基金法》、基金合同及其他有关规定募集，并经中国证券监督管理委员会(以下简称</w:t>
      </w:r>
      <w:r>
        <w:rPr>
          <w:rFonts w:hint="eastAsia" w:ascii="宋体" w:hAnsi="宋体"/>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pPr>
        <w:spacing w:line="360" w:lineRule="auto"/>
        <w:ind w:firstLine="480" w:firstLineChars="200"/>
        <w:rPr>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sz w:val="24"/>
        </w:rPr>
      </w:pPr>
      <w:r>
        <w:rPr>
          <w:rFonts w:hint="eastAsia"/>
          <w:bCs/>
          <w:sz w:val="24"/>
        </w:rPr>
        <w:t>投资者应当认真阅读基金招募说明书、基金合同、基金产品资料概要等信息披露文件，自主判断基金的投资价值，自主做出投资决策，自行承担投资风险。</w:t>
      </w:r>
    </w:p>
    <w:p>
      <w:pPr>
        <w:spacing w:line="360" w:lineRule="auto"/>
        <w:ind w:firstLine="480" w:firstLineChars="200"/>
        <w:rPr>
          <w:bCs/>
          <w:sz w:val="24"/>
        </w:rPr>
      </w:pPr>
      <w:r>
        <w:rPr>
          <w:rFonts w:hint="eastAsia"/>
          <w:bCs/>
          <w:sz w:val="24"/>
        </w:rPr>
        <w:t>四、本基金单一投资者持有基金份额数不得达到或超过基金份额总数的50%，但在基金运作过程中因基金份额赎回等情形导致被动达到或超过50%的除外。法律法规或监管机构另有规定的，从其规定。</w:t>
      </w:r>
    </w:p>
    <w:p>
      <w:pPr>
        <w:spacing w:line="360" w:lineRule="auto"/>
        <w:ind w:firstLine="480" w:firstLineChars="200"/>
        <w:rPr>
          <w:bCs/>
          <w:sz w:val="24"/>
        </w:rPr>
      </w:pPr>
      <w:r>
        <w:rPr>
          <w:rFonts w:hint="eastAsia"/>
          <w:bCs/>
          <w:sz w:val="24"/>
        </w:rPr>
        <w:t>五、自基金合同生效日（含）（对于认购份额而言）起或自基金份额申购确认日（含）（对于申购份额而言）起至18个公历月后对应日的前一日的期间为最短持有期限，最短持有期限内基金份额持有人不可办理赎回及转换转出业务。每份基金份额的最短持有期限结束日的下一工作日（含）起，基金份额持有人可办理赎回及转换转出业务。因此基金份额持有人面临在最短持有期限内不能赎回基金份额的风险。</w:t>
      </w:r>
    </w:p>
    <w:p>
      <w:pPr>
        <w:spacing w:line="360" w:lineRule="auto"/>
        <w:ind w:firstLine="480" w:firstLineChars="200"/>
        <w:rPr>
          <w:rFonts w:hint="eastAsia"/>
          <w:bCs/>
          <w:sz w:val="24"/>
        </w:rPr>
      </w:pPr>
      <w:r>
        <w:rPr>
          <w:rFonts w:hint="eastAsia"/>
          <w:bCs/>
          <w:sz w:val="24"/>
        </w:rPr>
        <w:t>六、本基金的投资范围包括存托凭证，除与其他仅投资于沪深市场股票的基金所面临的共同风险外，本基金还将面临投资存托凭证的特殊风险，详见本基金招募说明书。</w:t>
      </w:r>
    </w:p>
    <w:p>
      <w:pPr>
        <w:spacing w:line="360" w:lineRule="auto"/>
        <w:ind w:firstLine="480" w:firstLineChars="20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bCs/>
          <w:sz w:val="24"/>
        </w:rPr>
      </w:pPr>
      <w:r>
        <w:rPr>
          <w:rFonts w:hint="eastAsia"/>
          <w:bCs/>
          <w:sz w:val="24"/>
        </w:rPr>
        <w:t>八、本基金按照中国法律法规成立并运作，若</w:t>
      </w:r>
      <w:r>
        <w:rPr>
          <w:bCs/>
          <w:sz w:val="24"/>
        </w:rPr>
        <w:t>基金合同的内容与届时有效的法律法规的强制性规定不一致，应当以届时有效的法律法规的规定为准。</w:t>
      </w:r>
    </w:p>
    <w:p>
      <w:pPr>
        <w:spacing w:line="360" w:lineRule="auto"/>
        <w:ind w:firstLine="480" w:firstLineChars="200"/>
        <w:rPr>
          <w:bCs/>
          <w:sz w:val="24"/>
        </w:rPr>
      </w:pPr>
      <w:r>
        <w:rPr>
          <w:rFonts w:hint="eastAsia"/>
          <w:bCs/>
          <w:sz w:val="24"/>
        </w:rPr>
        <w:t>九</w:t>
      </w:r>
      <w:r>
        <w:rPr>
          <w:bCs/>
          <w:sz w:val="24"/>
        </w:rPr>
        <w:t>、</w:t>
      </w:r>
      <w:r>
        <w:rPr>
          <w:rFonts w:hint="eastAsia"/>
          <w:bCs/>
          <w:sz w:val="24"/>
        </w:rPr>
        <w:t>本基金合同约定的基金产品资料概要编制、披露与更新要求，自《信息披露办法》实施之日起一年后开始执行。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9" w:name="_Toc819"/>
      <w:bookmarkStart w:id="40" w:name="_Toc481653673"/>
      <w:bookmarkStart w:id="41" w:name="_Toc13020"/>
      <w:bookmarkStart w:id="42" w:name="_Toc2465"/>
      <w:bookmarkStart w:id="43" w:name="_Toc6617"/>
      <w:bookmarkStart w:id="44" w:name="_Toc3224"/>
      <w:bookmarkStart w:id="45" w:name="_Toc21301"/>
      <w:bookmarkStart w:id="46" w:name="_Toc20237401"/>
      <w:bookmarkStart w:id="47" w:name="_Toc24860"/>
      <w:bookmarkStart w:id="48" w:name="_Toc22864"/>
      <w:bookmarkStart w:id="49" w:name="_Toc19592"/>
      <w:bookmarkStart w:id="50" w:name="_Toc15067"/>
      <w:r>
        <w:rPr>
          <w:rFonts w:ascii="Times New Roman"/>
          <w:color w:val="auto"/>
          <w:sz w:val="30"/>
        </w:rPr>
        <w:t>第二部分</w:t>
      </w:r>
      <w:r>
        <w:rPr>
          <w:rFonts w:hint="eastAsia" w:ascii="Times New Roman"/>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华安添福18个月持有期混合型</w:t>
      </w:r>
      <w:r>
        <w:rPr>
          <w:bCs/>
          <w:sz w:val="24"/>
        </w:rPr>
        <w:t>证券投资基金</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华安基金管理有限公司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中国邮政储蓄银行股份有限公司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华安添福18个月持有期混合型</w:t>
      </w:r>
      <w:r>
        <w:rPr>
          <w:bCs/>
          <w:sz w:val="24"/>
        </w:rPr>
        <w:t>证券投资基金基金合同》及对本基金合同的任何有效修订和补充</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华安添福18个月持有期混合型</w:t>
      </w:r>
      <w:r>
        <w:rPr>
          <w:bCs/>
          <w:sz w:val="24"/>
        </w:rPr>
        <w:t>证券投资基金托管协议》及对该托管协议的任何有效修订和补充</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华安添福18个月持有期混合型</w:t>
      </w:r>
      <w:r>
        <w:rPr>
          <w:bCs/>
          <w:sz w:val="24"/>
        </w:rPr>
        <w:t>证券投资基金招募说明书》及其更新</w:t>
      </w:r>
    </w:p>
    <w:p>
      <w:pPr>
        <w:spacing w:line="360" w:lineRule="auto"/>
        <w:ind w:firstLine="480" w:firstLineChars="200"/>
        <w:rPr>
          <w:bCs/>
          <w:sz w:val="24"/>
        </w:rPr>
      </w:pPr>
      <w:r>
        <w:rPr>
          <w:bCs/>
          <w:sz w:val="24"/>
        </w:rPr>
        <w:t>7</w:t>
      </w:r>
      <w:r>
        <w:rPr>
          <w:rFonts w:hint="eastAsia"/>
          <w:bCs/>
          <w:sz w:val="24"/>
        </w:rPr>
        <w:t>、基金产品资料概要：指《华安添福18个月持有期混合型证券投资基金基金产品资料概要》及其更新</w:t>
      </w:r>
    </w:p>
    <w:p>
      <w:pPr>
        <w:spacing w:line="360" w:lineRule="auto"/>
        <w:ind w:firstLine="480" w:firstLineChars="200"/>
        <w:rPr>
          <w:bCs/>
          <w:sz w:val="24"/>
        </w:rPr>
      </w:pPr>
      <w:r>
        <w:rPr>
          <w:rFonts w:hint="eastAsia"/>
          <w:bCs/>
          <w:sz w:val="24"/>
        </w:rPr>
        <w:t>8、</w:t>
      </w:r>
      <w:r>
        <w:rPr>
          <w:bCs/>
          <w:sz w:val="24"/>
        </w:rPr>
        <w:t>基金份额发售公告：指《</w:t>
      </w:r>
      <w:r>
        <w:rPr>
          <w:rFonts w:hint="eastAsia"/>
          <w:bCs/>
          <w:sz w:val="24"/>
        </w:rPr>
        <w:t>华安添福18个月持有期混合型</w:t>
      </w:r>
      <w:r>
        <w:rPr>
          <w:bCs/>
          <w:sz w:val="24"/>
        </w:rPr>
        <w:t>证券投资基金基金份额发售公告》</w:t>
      </w:r>
    </w:p>
    <w:p>
      <w:pPr>
        <w:spacing w:line="360" w:lineRule="auto"/>
        <w:ind w:firstLine="480" w:firstLineChars="200"/>
        <w:rPr>
          <w:bCs/>
          <w:sz w:val="24"/>
        </w:rPr>
      </w:pPr>
      <w:r>
        <w:rPr>
          <w:rFonts w:hint="eastAsia"/>
          <w:bCs/>
          <w:sz w:val="24"/>
        </w:rPr>
        <w:t>9、</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rFonts w:hint="eastAsia"/>
          <w:bCs/>
          <w:sz w:val="24"/>
        </w:rPr>
        <w:t>10、</w:t>
      </w:r>
      <w:r>
        <w:rPr>
          <w:bCs/>
          <w:sz w:val="24"/>
        </w:rPr>
        <w:t>《基金法》：指</w:t>
      </w:r>
      <w:r>
        <w:rPr>
          <w:rFonts w:hint="eastAsia"/>
          <w:bCs/>
          <w:sz w:val="24"/>
        </w:rPr>
        <w:t>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w:t>
      </w:r>
      <w:r>
        <w:rPr>
          <w:bCs/>
          <w:sz w:val="24"/>
        </w:rPr>
        <w:t>《中华人民共和国证券投资基金法》及颁布机关对其不时做出的修订</w:t>
      </w:r>
    </w:p>
    <w:p>
      <w:pPr>
        <w:spacing w:line="360" w:lineRule="auto"/>
        <w:ind w:firstLine="480" w:firstLineChars="200"/>
        <w:rPr>
          <w:bCs/>
          <w:sz w:val="24"/>
        </w:rPr>
      </w:pPr>
      <w:r>
        <w:rPr>
          <w:bCs/>
          <w:sz w:val="24"/>
        </w:rPr>
        <w:t>1</w:t>
      </w:r>
      <w:r>
        <w:rPr>
          <w:rFonts w:hint="eastAsia"/>
          <w:bCs/>
          <w:sz w:val="24"/>
        </w:rPr>
        <w:t>1、</w:t>
      </w:r>
      <w:r>
        <w:rPr>
          <w:bCs/>
          <w:sz w:val="24"/>
        </w:rPr>
        <w:t>《销售办法》：指中国证监会</w:t>
      </w:r>
      <w:r>
        <w:rPr>
          <w:rFonts w:hint="eastAsia"/>
          <w:bCs/>
          <w:sz w:val="24"/>
        </w:rPr>
        <w:t>2013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w:t>
      </w:r>
      <w:r>
        <w:rPr>
          <w:rFonts w:hint="eastAsia"/>
          <w:bCs/>
          <w:sz w:val="24"/>
        </w:rPr>
        <w:t>2、</w:t>
      </w:r>
      <w:r>
        <w:rPr>
          <w:bCs/>
          <w:sz w:val="24"/>
        </w:rPr>
        <w:t>《信息披露办法》：指中国证监会2019年7月26日颁布、同年</w:t>
      </w:r>
      <w:r>
        <w:rPr>
          <w:rFonts w:hint="eastAsia"/>
          <w:bCs/>
          <w:sz w:val="24"/>
        </w:rPr>
        <w:t>9</w:t>
      </w:r>
      <w:r>
        <w:rPr>
          <w:bCs/>
          <w:sz w:val="24"/>
        </w:rPr>
        <w:t>月1日实施的《</w:t>
      </w:r>
      <w:r>
        <w:rPr>
          <w:rFonts w:hint="eastAsia"/>
          <w:bCs/>
          <w:sz w:val="24"/>
        </w:rPr>
        <w:t>公开募集</w:t>
      </w:r>
      <w:r>
        <w:rPr>
          <w:bCs/>
          <w:sz w:val="24"/>
        </w:rPr>
        <w:t>证券投资基金信息披露管理办法》及颁布机关对其不时做出的修订</w:t>
      </w:r>
    </w:p>
    <w:p>
      <w:pPr>
        <w:spacing w:line="360" w:lineRule="auto"/>
        <w:ind w:firstLine="480" w:firstLineChars="200"/>
        <w:rPr>
          <w:bCs/>
          <w:sz w:val="24"/>
        </w:rPr>
      </w:pPr>
      <w:r>
        <w:rPr>
          <w:bCs/>
          <w:sz w:val="24"/>
        </w:rPr>
        <w:t>1</w:t>
      </w:r>
      <w:r>
        <w:rPr>
          <w:rFonts w:hint="eastAsia"/>
          <w:bCs/>
          <w:sz w:val="24"/>
        </w:rPr>
        <w:t>3、</w:t>
      </w:r>
      <w:r>
        <w:rPr>
          <w:bCs/>
          <w:sz w:val="24"/>
        </w:rPr>
        <w:t>《运作办法》：指中国证监会20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14、《流动性风险管理规定》：指中国证监会2017年8月31日颁布、同年10月1日实施的《公开募集开放式证券投资基金流动性风险管理规定》及颁布机关对其不时做出的修订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w:t>
      </w:r>
      <w:r>
        <w:rPr>
          <w:rFonts w:hint="eastAsia"/>
          <w:bCs/>
          <w:sz w:val="24"/>
        </w:rPr>
        <w:t>5、</w:t>
      </w:r>
      <w:r>
        <w:rPr>
          <w:bCs/>
          <w:sz w:val="24"/>
        </w:rPr>
        <w:t>中国证监会：指中国证券监督管理委员会</w:t>
      </w:r>
    </w:p>
    <w:p>
      <w:pPr>
        <w:spacing w:line="360" w:lineRule="auto"/>
        <w:ind w:firstLine="480" w:firstLineChars="200"/>
        <w:rPr>
          <w:bCs/>
          <w:sz w:val="24"/>
        </w:rPr>
      </w:pPr>
      <w:r>
        <w:rPr>
          <w:bCs/>
          <w:sz w:val="24"/>
        </w:rPr>
        <w:t>1</w:t>
      </w:r>
      <w:r>
        <w:rPr>
          <w:rFonts w:hint="eastAsia"/>
          <w:bCs/>
          <w:sz w:val="24"/>
        </w:rPr>
        <w:t>6、</w:t>
      </w:r>
      <w:r>
        <w:rPr>
          <w:bCs/>
          <w:sz w:val="24"/>
        </w:rPr>
        <w:t>银行业监督管理机构：指中国人民银行和/或</w:t>
      </w:r>
      <w:r>
        <w:rPr>
          <w:rFonts w:hint="eastAsia"/>
          <w:bCs/>
          <w:sz w:val="24"/>
        </w:rPr>
        <w:t>中国银行保险</w:t>
      </w:r>
      <w:r>
        <w:rPr>
          <w:bCs/>
          <w:sz w:val="24"/>
        </w:rPr>
        <w:t>监督管理委员会</w:t>
      </w:r>
    </w:p>
    <w:p>
      <w:pPr>
        <w:spacing w:line="360" w:lineRule="auto"/>
        <w:ind w:firstLine="480" w:firstLineChars="200"/>
        <w:rPr>
          <w:bCs/>
          <w:sz w:val="24"/>
        </w:rPr>
      </w:pPr>
      <w:r>
        <w:rPr>
          <w:bCs/>
          <w:sz w:val="24"/>
        </w:rPr>
        <w:t>1</w:t>
      </w:r>
      <w:r>
        <w:rPr>
          <w:rFonts w:hint="eastAsia"/>
          <w:bCs/>
          <w:sz w:val="24"/>
        </w:rPr>
        <w:t>7、</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w:t>
      </w:r>
      <w:r>
        <w:rPr>
          <w:rFonts w:hint="eastAsia"/>
          <w:bCs/>
          <w:sz w:val="24"/>
        </w:rPr>
        <w:t>8、</w:t>
      </w:r>
      <w:r>
        <w:rPr>
          <w:bCs/>
          <w:sz w:val="24"/>
        </w:rPr>
        <w:t>个人投资者：指依据有关法律法规规定可投资于证券投资基金的自然人</w:t>
      </w:r>
    </w:p>
    <w:p>
      <w:pPr>
        <w:spacing w:line="360" w:lineRule="auto"/>
        <w:ind w:firstLine="480" w:firstLineChars="200"/>
        <w:rPr>
          <w:bCs/>
          <w:sz w:val="24"/>
        </w:rPr>
      </w:pPr>
      <w:r>
        <w:rPr>
          <w:bCs/>
          <w:sz w:val="24"/>
        </w:rPr>
        <w:t>1</w:t>
      </w:r>
      <w:r>
        <w:rPr>
          <w:rFonts w:hint="eastAsia"/>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rFonts w:hint="eastAsia"/>
          <w:bCs/>
          <w:sz w:val="24"/>
        </w:rPr>
        <w:t>20、合格境外机构投资者：指符合《合格境外机构投资者境内证券投资管理办法》及相关法律法规规定可以投资于在中国境内依法募集的证券投资基金的中国境外的机构投资者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rFonts w:hint="eastAsia"/>
          <w:bCs/>
          <w:sz w:val="24"/>
        </w:rPr>
        <w:t>21、人民币合格境外机构投资者：指按照《人民币合格境外机构投资者境内证券投资试点办法》及相关法律法规规定，运用来自境外的人民币资金进行境内证券投资的境外法人</w:t>
      </w:r>
    </w:p>
    <w:p>
      <w:pPr>
        <w:spacing w:line="360" w:lineRule="auto"/>
        <w:ind w:firstLine="480" w:firstLineChars="200"/>
        <w:rPr>
          <w:bCs/>
          <w:sz w:val="24"/>
        </w:rPr>
      </w:pPr>
      <w:r>
        <w:rPr>
          <w:rFonts w:hint="eastAsia"/>
          <w:bCs/>
          <w:sz w:val="24"/>
        </w:rPr>
        <w:t>22、</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pPr>
        <w:spacing w:line="360" w:lineRule="auto"/>
        <w:ind w:firstLine="480" w:firstLineChars="200"/>
        <w:rPr>
          <w:bCs/>
          <w:sz w:val="24"/>
        </w:rPr>
      </w:pPr>
      <w:r>
        <w:rPr>
          <w:rFonts w:hint="eastAsia"/>
          <w:bCs/>
          <w:sz w:val="24"/>
        </w:rPr>
        <w:t>23、</w:t>
      </w:r>
      <w:r>
        <w:rPr>
          <w:bCs/>
          <w:sz w:val="24"/>
        </w:rPr>
        <w:t>基金份额持有人：指依基金合同和招募说明书合法取得基金份额的投资人</w:t>
      </w:r>
    </w:p>
    <w:p>
      <w:pPr>
        <w:spacing w:line="360" w:lineRule="auto"/>
        <w:ind w:firstLine="480" w:firstLineChars="200"/>
        <w:rPr>
          <w:bCs/>
          <w:sz w:val="24"/>
        </w:rPr>
      </w:pPr>
      <w:r>
        <w:rPr>
          <w:rFonts w:hint="eastAsia"/>
          <w:bCs/>
          <w:sz w:val="24"/>
        </w:rPr>
        <w:t>24、</w:t>
      </w:r>
      <w:r>
        <w:rPr>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rFonts w:hint="eastAsia"/>
          <w:bCs/>
          <w:sz w:val="24"/>
        </w:rPr>
        <w:t>25、</w:t>
      </w:r>
      <w:r>
        <w:rPr>
          <w:bCs/>
          <w:sz w:val="24"/>
        </w:rPr>
        <w:t>销售机构：指</w:t>
      </w:r>
      <w:r>
        <w:rPr>
          <w:rFonts w:hint="eastAsia"/>
          <w:bCs/>
          <w:sz w:val="24"/>
        </w:rPr>
        <w:t>华安基金管理有限公司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pPr>
        <w:spacing w:line="360" w:lineRule="auto"/>
        <w:ind w:firstLine="480" w:firstLineChars="200"/>
        <w:rPr>
          <w:bCs/>
          <w:sz w:val="24"/>
        </w:rPr>
      </w:pPr>
      <w:r>
        <w:rPr>
          <w:rFonts w:hint="eastAsia"/>
          <w:bCs/>
          <w:sz w:val="24"/>
        </w:rPr>
        <w:t>26、</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rFonts w:hint="eastAsia"/>
          <w:bCs/>
          <w:sz w:val="24"/>
        </w:rPr>
        <w:t>27、</w:t>
      </w:r>
      <w:r>
        <w:rPr>
          <w:bCs/>
          <w:sz w:val="24"/>
        </w:rPr>
        <w:t>登记机构：指办理登记业务的机构。基金的登记机构为</w:t>
      </w:r>
      <w:r>
        <w:rPr>
          <w:rFonts w:hAnsi="宋体"/>
          <w:sz w:val="24"/>
          <w:szCs w:val="24"/>
        </w:rPr>
        <w:t>华安基金管理有限公司</w:t>
      </w:r>
      <w:r>
        <w:rPr>
          <w:rFonts w:hAnsi="宋体"/>
          <w:bCs/>
          <w:sz w:val="24"/>
          <w:szCs w:val="24"/>
        </w:rPr>
        <w:t>或接受</w:t>
      </w:r>
      <w:r>
        <w:rPr>
          <w:rFonts w:hint="eastAsia" w:hAnsi="宋体"/>
          <w:bCs/>
          <w:sz w:val="24"/>
          <w:szCs w:val="24"/>
        </w:rPr>
        <w:t>华安基金管理有限公司</w:t>
      </w:r>
      <w:r>
        <w:rPr>
          <w:rFonts w:hAnsi="宋体"/>
          <w:bCs/>
          <w:sz w:val="24"/>
          <w:szCs w:val="24"/>
        </w:rPr>
        <w:t>委托代为办理登记业务的机构</w:t>
      </w:r>
    </w:p>
    <w:p>
      <w:pPr>
        <w:spacing w:line="360" w:lineRule="auto"/>
        <w:ind w:firstLine="480" w:firstLineChars="200"/>
        <w:rPr>
          <w:bCs/>
          <w:sz w:val="24"/>
        </w:rPr>
      </w:pPr>
      <w:r>
        <w:rPr>
          <w:rFonts w:hint="eastAsia"/>
          <w:bCs/>
          <w:sz w:val="24"/>
        </w:rPr>
        <w:t>28、</w:t>
      </w:r>
      <w:r>
        <w:rPr>
          <w:bCs/>
          <w:sz w:val="24"/>
        </w:rPr>
        <w:t>基金账户：指登记机构为投资人开立的、记录其持有的、基金管理人所管理的基金份额余额及其变动情况的账户</w:t>
      </w:r>
    </w:p>
    <w:p>
      <w:pPr>
        <w:spacing w:line="360" w:lineRule="auto"/>
        <w:ind w:firstLine="480" w:firstLineChars="200"/>
        <w:rPr>
          <w:bCs/>
          <w:sz w:val="24"/>
        </w:rPr>
      </w:pPr>
      <w:r>
        <w:rPr>
          <w:rFonts w:hint="eastAsia"/>
          <w:bCs/>
          <w:sz w:val="24"/>
        </w:rPr>
        <w:t>29、</w:t>
      </w:r>
      <w:r>
        <w:rPr>
          <w:bCs/>
          <w:sz w:val="24"/>
        </w:rPr>
        <w:t>基金交易账户：指销售机构为投资人开立的、记录投资人通过该销售机构办理认购、申购、赎回、转换</w:t>
      </w:r>
      <w:r>
        <w:rPr>
          <w:rFonts w:hint="eastAsia"/>
          <w:bCs/>
          <w:sz w:val="24"/>
        </w:rPr>
        <w:t>、</w:t>
      </w:r>
      <w:r>
        <w:rPr>
          <w:bCs/>
          <w:sz w:val="24"/>
        </w:rPr>
        <w:t>转托管</w:t>
      </w:r>
      <w:r>
        <w:rPr>
          <w:rFonts w:hint="eastAsia"/>
          <w:bCs/>
          <w:sz w:val="24"/>
        </w:rPr>
        <w:t>及</w:t>
      </w:r>
      <w:r>
        <w:rPr>
          <w:bCs/>
          <w:sz w:val="24"/>
        </w:rPr>
        <w:t>定期定额</w:t>
      </w:r>
      <w:r>
        <w:rPr>
          <w:rFonts w:hint="eastAsia"/>
          <w:bCs/>
          <w:sz w:val="24"/>
        </w:rPr>
        <w:t>投资</w:t>
      </w:r>
      <w:r>
        <w:rPr>
          <w:bCs/>
          <w:sz w:val="24"/>
        </w:rPr>
        <w:t>等业务而引起基金的基金份额变动及结余情况的账户</w:t>
      </w:r>
    </w:p>
    <w:p>
      <w:pPr>
        <w:spacing w:line="360" w:lineRule="auto"/>
        <w:ind w:firstLine="480" w:firstLineChars="200"/>
        <w:rPr>
          <w:bCs/>
          <w:sz w:val="24"/>
        </w:rPr>
      </w:pPr>
      <w:r>
        <w:rPr>
          <w:rFonts w:hint="eastAsia"/>
          <w:bCs/>
          <w:sz w:val="24"/>
        </w:rPr>
        <w:t>30、</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rFonts w:hint="eastAsia"/>
          <w:bCs/>
          <w:sz w:val="24"/>
        </w:rPr>
        <w:t>31、</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32、</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33、</w:t>
      </w:r>
      <w:r>
        <w:rPr>
          <w:bCs/>
          <w:sz w:val="24"/>
        </w:rPr>
        <w:t>存续期：指基金合同生效至终止之间的不定期期限</w:t>
      </w:r>
    </w:p>
    <w:p>
      <w:pPr>
        <w:spacing w:line="360" w:lineRule="auto"/>
        <w:ind w:firstLine="480" w:firstLineChars="200"/>
        <w:rPr>
          <w:bCs/>
          <w:sz w:val="24"/>
        </w:rPr>
      </w:pPr>
      <w:r>
        <w:rPr>
          <w:rFonts w:hint="eastAsia"/>
          <w:bCs/>
          <w:sz w:val="24"/>
        </w:rPr>
        <w:t>34、</w:t>
      </w:r>
      <w:r>
        <w:rPr>
          <w:bCs/>
          <w:sz w:val="24"/>
        </w:rPr>
        <w:t>工作日：指上海证券交易所、深圳证券交易所的正常交易日</w:t>
      </w:r>
    </w:p>
    <w:p>
      <w:pPr>
        <w:spacing w:line="360" w:lineRule="auto"/>
        <w:ind w:firstLine="480" w:firstLineChars="200"/>
        <w:rPr>
          <w:bCs/>
          <w:sz w:val="24"/>
        </w:rPr>
      </w:pPr>
      <w:r>
        <w:rPr>
          <w:rFonts w:hint="eastAsia"/>
          <w:bCs/>
          <w:sz w:val="24"/>
        </w:rPr>
        <w:t>35、</w:t>
      </w:r>
      <w:r>
        <w:rPr>
          <w:bCs/>
          <w:sz w:val="24"/>
        </w:rPr>
        <w:t>T日：指销售机构在规定时间受理投资人申购、赎回或其他业务申请的开放日</w:t>
      </w:r>
    </w:p>
    <w:p>
      <w:pPr>
        <w:spacing w:line="360" w:lineRule="auto"/>
        <w:ind w:firstLine="480" w:firstLineChars="200"/>
        <w:rPr>
          <w:bCs/>
          <w:sz w:val="24"/>
        </w:rPr>
      </w:pPr>
      <w:r>
        <w:rPr>
          <w:rFonts w:hint="eastAsia"/>
          <w:bCs/>
          <w:sz w:val="24"/>
        </w:rPr>
        <w:t>36、</w:t>
      </w:r>
      <w:r>
        <w:rPr>
          <w:bCs/>
          <w:sz w:val="24"/>
        </w:rPr>
        <w:t>T+n日：指自T日起第n个工作日(不包含T日)</w:t>
      </w:r>
    </w:p>
    <w:p>
      <w:pPr>
        <w:spacing w:line="360" w:lineRule="auto"/>
        <w:ind w:firstLine="480" w:firstLineChars="200"/>
        <w:rPr>
          <w:bCs/>
          <w:sz w:val="24"/>
        </w:rPr>
      </w:pPr>
      <w:r>
        <w:rPr>
          <w:rFonts w:hint="eastAsia"/>
          <w:bCs/>
          <w:sz w:val="24"/>
        </w:rPr>
        <w:t>37、</w:t>
      </w:r>
      <w:r>
        <w:rPr>
          <w:bCs/>
          <w:sz w:val="24"/>
        </w:rPr>
        <w:t>开放日：指为投资人办理基金份额申购、赎回或其他业务的工作日</w:t>
      </w:r>
    </w:p>
    <w:p>
      <w:pPr>
        <w:spacing w:line="360" w:lineRule="auto"/>
        <w:ind w:firstLine="480" w:firstLineChars="200"/>
        <w:rPr>
          <w:bCs/>
          <w:sz w:val="24"/>
        </w:rPr>
      </w:pPr>
      <w:r>
        <w:rPr>
          <w:rFonts w:hint="eastAsia"/>
          <w:bCs/>
          <w:sz w:val="24"/>
        </w:rPr>
        <w:t>38、</w:t>
      </w:r>
      <w:r>
        <w:rPr>
          <w:bCs/>
          <w:sz w:val="24"/>
        </w:rPr>
        <w:t>开放时间：指开放日基金接受申购、赎回或其他交易的时间段</w:t>
      </w:r>
    </w:p>
    <w:p>
      <w:pPr>
        <w:spacing w:line="360" w:lineRule="auto"/>
        <w:ind w:firstLine="480" w:firstLineChars="200"/>
        <w:rPr>
          <w:bCs/>
          <w:sz w:val="24"/>
        </w:rPr>
      </w:pPr>
      <w:r>
        <w:rPr>
          <w:rFonts w:hint="eastAsia"/>
          <w:bCs/>
          <w:sz w:val="24"/>
        </w:rPr>
        <w:t>39、</w:t>
      </w:r>
      <w:r>
        <w:rPr>
          <w:bCs/>
          <w:sz w:val="24"/>
        </w:rPr>
        <w:t>《业务规则》：指《华安基金管理有限公司开放式基金业务规则》，是规范基金管理人所管理的开放式证券投资基金登记方面的业务规则，由基金管理人和投资人共同遵守</w:t>
      </w:r>
    </w:p>
    <w:p>
      <w:pPr>
        <w:spacing w:line="360" w:lineRule="auto"/>
        <w:ind w:firstLine="480" w:firstLineChars="200"/>
        <w:rPr>
          <w:bCs/>
          <w:sz w:val="24"/>
        </w:rPr>
      </w:pPr>
      <w:r>
        <w:rPr>
          <w:rFonts w:hint="eastAsia"/>
          <w:bCs/>
          <w:sz w:val="24"/>
        </w:rPr>
        <w:t>40、</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41、</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42、</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rFonts w:hint="eastAsia"/>
          <w:bCs/>
          <w:sz w:val="24"/>
        </w:rPr>
        <w:t>43、</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rFonts w:hint="eastAsia"/>
          <w:bCs/>
          <w:sz w:val="24"/>
        </w:rPr>
        <w:t>44、</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rFonts w:hint="eastAsia"/>
          <w:bCs/>
          <w:sz w:val="24"/>
        </w:rPr>
        <w:t>45、</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pPr>
        <w:spacing w:line="360" w:lineRule="auto"/>
        <w:ind w:firstLine="480" w:firstLineChars="200"/>
        <w:rPr>
          <w:bCs/>
          <w:sz w:val="24"/>
        </w:rPr>
      </w:pPr>
      <w:r>
        <w:rPr>
          <w:rFonts w:hint="eastAsia"/>
          <w:bCs/>
          <w:sz w:val="24"/>
        </w:rPr>
        <w:t>46、</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w:t>
      </w:r>
      <w:r>
        <w:rPr>
          <w:bCs/>
          <w:sz w:val="24"/>
        </w:rPr>
        <w:t>日基金总份额的</w:t>
      </w:r>
      <w:r>
        <w:rPr>
          <w:rFonts w:hint="eastAsia"/>
          <w:bCs/>
          <w:sz w:val="24"/>
        </w:rPr>
        <w:t>1</w:t>
      </w:r>
      <w:r>
        <w:rPr>
          <w:bCs/>
          <w:sz w:val="24"/>
        </w:rPr>
        <w:t>0%</w:t>
      </w:r>
    </w:p>
    <w:p>
      <w:pPr>
        <w:spacing w:line="360" w:lineRule="auto"/>
        <w:ind w:firstLine="480" w:firstLineChars="200"/>
        <w:rPr>
          <w:bCs/>
          <w:sz w:val="24"/>
        </w:rPr>
      </w:pPr>
      <w:r>
        <w:rPr>
          <w:rFonts w:hint="eastAsia"/>
          <w:bCs/>
          <w:sz w:val="24"/>
        </w:rPr>
        <w:t>47、</w:t>
      </w:r>
      <w:r>
        <w:rPr>
          <w:bCs/>
          <w:sz w:val="24"/>
        </w:rPr>
        <w:t>元：指人民币元</w:t>
      </w:r>
    </w:p>
    <w:p>
      <w:pPr>
        <w:spacing w:line="360" w:lineRule="auto"/>
        <w:ind w:firstLine="480" w:firstLineChars="200"/>
        <w:rPr>
          <w:bCs/>
          <w:sz w:val="24"/>
        </w:rPr>
      </w:pPr>
      <w:r>
        <w:rPr>
          <w:bCs/>
          <w:sz w:val="24"/>
        </w:rPr>
        <w:t>4</w:t>
      </w:r>
      <w:r>
        <w:rPr>
          <w:rFonts w:hint="eastAsia"/>
          <w:bCs/>
          <w:sz w:val="24"/>
        </w:rPr>
        <w:t>8、</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rFonts w:hint="eastAsia"/>
          <w:bCs/>
          <w:sz w:val="24"/>
        </w:rPr>
        <w:t>49、</w:t>
      </w:r>
      <w:r>
        <w:rPr>
          <w:bCs/>
          <w:sz w:val="24"/>
        </w:rPr>
        <w:t>基金资产总值：指基金拥有的各类有价证券、银行存款本息、基金应收申购款及其他资产的价值总和</w:t>
      </w:r>
    </w:p>
    <w:p>
      <w:pPr>
        <w:spacing w:line="360" w:lineRule="auto"/>
        <w:ind w:firstLine="480" w:firstLineChars="200"/>
        <w:rPr>
          <w:bCs/>
          <w:sz w:val="24"/>
        </w:rPr>
      </w:pPr>
      <w:r>
        <w:rPr>
          <w:rFonts w:hint="eastAsia"/>
          <w:bCs/>
          <w:sz w:val="24"/>
        </w:rPr>
        <w:t>50、</w:t>
      </w:r>
      <w:r>
        <w:rPr>
          <w:bCs/>
          <w:sz w:val="24"/>
        </w:rPr>
        <w:t>基金资产净值：指基金资产总值减去基金负债后的价值</w:t>
      </w:r>
    </w:p>
    <w:p>
      <w:pPr>
        <w:spacing w:line="360" w:lineRule="auto"/>
        <w:ind w:firstLine="480" w:firstLineChars="200"/>
        <w:rPr>
          <w:bCs/>
          <w:sz w:val="24"/>
        </w:rPr>
      </w:pPr>
      <w:r>
        <w:rPr>
          <w:rFonts w:hint="eastAsia"/>
          <w:bCs/>
          <w:sz w:val="24"/>
        </w:rPr>
        <w:t>51、</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52、</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53、规</w:t>
      </w:r>
      <w:r>
        <w:rPr>
          <w:bCs/>
          <w:sz w:val="24"/>
        </w:rPr>
        <w:t>定媒</w:t>
      </w:r>
      <w:r>
        <w:rPr>
          <w:rFonts w:hint="eastAsia"/>
          <w:bCs/>
          <w:sz w:val="24"/>
        </w:rPr>
        <w:t>介</w:t>
      </w:r>
      <w:r>
        <w:rPr>
          <w:bCs/>
          <w:sz w:val="24"/>
        </w:rPr>
        <w:t>：指</w:t>
      </w:r>
      <w:r>
        <w:rPr>
          <w:rFonts w:hint="eastAsia"/>
          <w:bCs/>
          <w:sz w:val="24"/>
        </w:rPr>
        <w:t>符合</w:t>
      </w:r>
      <w:r>
        <w:rPr>
          <w:bCs/>
          <w:sz w:val="24"/>
        </w:rPr>
        <w:t>中国证监会</w:t>
      </w:r>
      <w:r>
        <w:rPr>
          <w:rFonts w:hint="eastAsia"/>
          <w:bCs/>
          <w:sz w:val="24"/>
        </w:rPr>
        <w:t>规</w:t>
      </w:r>
      <w:r>
        <w:rPr>
          <w:bCs/>
          <w:sz w:val="24"/>
        </w:rPr>
        <w:t>定</w:t>
      </w:r>
      <w:r>
        <w:rPr>
          <w:rFonts w:hint="eastAsia"/>
          <w:bCs/>
          <w:sz w:val="24"/>
        </w:rPr>
        <w:t>条件</w:t>
      </w:r>
      <w:r>
        <w:rPr>
          <w:bCs/>
          <w:sz w:val="24"/>
        </w:rPr>
        <w:t>的用以进行信息披露的</w:t>
      </w:r>
      <w:r>
        <w:rPr>
          <w:rFonts w:hint="eastAsia"/>
          <w:bCs/>
          <w:sz w:val="24"/>
        </w:rPr>
        <w:t>全国性</w:t>
      </w:r>
      <w:r>
        <w:rPr>
          <w:bCs/>
          <w:sz w:val="24"/>
        </w:rPr>
        <w:t>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（包括基金管理人网站、基金托管人网站、中国证监会基金电子披露网站）等媒介</w:t>
      </w:r>
    </w:p>
    <w:p>
      <w:pPr>
        <w:spacing w:line="360" w:lineRule="auto"/>
        <w:ind w:firstLine="480" w:firstLineChars="200"/>
        <w:rPr>
          <w:sz w:val="24"/>
        </w:rPr>
      </w:pPr>
      <w:r>
        <w:rPr>
          <w:rFonts w:hint="eastAsia"/>
          <w:bCs/>
          <w:sz w:val="24"/>
        </w:rPr>
        <w:t>54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55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rFonts w:hint="eastAsia"/>
          <w:bCs/>
          <w:sz w:val="24"/>
        </w:rPr>
        <w:t>56、</w:t>
      </w:r>
      <w:r>
        <w:rPr>
          <w:bCs/>
          <w:sz w:val="24"/>
        </w:rPr>
        <w:t>不可抗力：指本</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r>
        <w:rPr>
          <w:rFonts w:hint="eastAsia"/>
          <w:bCs/>
          <w:sz w:val="24"/>
        </w:rPr>
        <w:t>57、</w:t>
      </w:r>
      <w:r>
        <w:rPr>
          <w:bCs/>
          <w:sz w:val="24"/>
        </w:rPr>
        <w:t>中国：指中华人民共和国。就本基金合同而言，不包括香港特别行政区、澳门特别行政区和台湾地区</w:t>
      </w:r>
    </w:p>
    <w:p>
      <w:pPr>
        <w:spacing w:line="360" w:lineRule="auto"/>
        <w:ind w:firstLine="480" w:firstLineChars="200"/>
        <w:rPr>
          <w:bCs/>
          <w:sz w:val="24"/>
        </w:rPr>
      </w:pPr>
      <w:r>
        <w:rPr>
          <w:rFonts w:hint="eastAsia"/>
          <w:bCs/>
          <w:sz w:val="24"/>
        </w:rPr>
        <w:t>58、最短持有期限</w:t>
      </w:r>
      <w:r>
        <w:rPr>
          <w:bCs/>
          <w:sz w:val="24"/>
        </w:rPr>
        <w:t>：</w:t>
      </w:r>
      <w:r>
        <w:rPr>
          <w:rFonts w:hint="eastAsia"/>
          <w:bCs/>
          <w:sz w:val="24"/>
        </w:rPr>
        <w:t>对于每份基金份额，指自基金合同生效日（含）（对于认购份额而言）起或自基金份额申购确认日（含）（对于申购份额而言）起至18个公历月后对应日（如该对应日为非工作日或无该对应日，则顺延至下一个工作日）之前一日止的</w:t>
      </w:r>
      <w:r>
        <w:rPr>
          <w:bCs/>
          <w:sz w:val="24"/>
        </w:rPr>
        <w:t>期间</w:t>
      </w:r>
      <w:r>
        <w:rPr>
          <w:rFonts w:hint="eastAsia"/>
          <w:bCs/>
          <w:sz w:val="24"/>
        </w:rPr>
        <w:t>。最短持有期限</w:t>
      </w:r>
      <w:r>
        <w:rPr>
          <w:bCs/>
          <w:sz w:val="24"/>
        </w:rPr>
        <w:t>内</w:t>
      </w:r>
      <w:r>
        <w:rPr>
          <w:rFonts w:hint="eastAsia"/>
          <w:bCs/>
          <w:sz w:val="24"/>
        </w:rPr>
        <w:t>基金份额持有人不可办理赎回及转换转出业务</w:t>
      </w:r>
    </w:p>
    <w:p>
      <w:pPr>
        <w:spacing w:line="360" w:lineRule="auto"/>
        <w:ind w:firstLine="480" w:firstLineChars="200"/>
        <w:rPr>
          <w:bCs/>
          <w:sz w:val="24"/>
        </w:rPr>
      </w:pPr>
      <w:r>
        <w:rPr>
          <w:rFonts w:hint="eastAsia"/>
          <w:bCs/>
          <w:sz w:val="24"/>
        </w:rPr>
        <w:t>59、销售服务费：指从基金财产中计提的，用于本基金市场推广、销售以及基金份额持有人服务的费用</w:t>
      </w:r>
    </w:p>
    <w:p>
      <w:pPr>
        <w:spacing w:line="360" w:lineRule="auto"/>
        <w:ind w:firstLine="480" w:firstLineChars="200"/>
        <w:rPr>
          <w:bCs/>
          <w:sz w:val="24"/>
        </w:rPr>
      </w:pPr>
      <w:r>
        <w:rPr>
          <w:rFonts w:hint="eastAsia"/>
          <w:bCs/>
          <w:sz w:val="24"/>
        </w:rPr>
        <w:t>60、基金份额分类：本基金根据认购费、申购费、销售服务费收取方式的不同，将基金份额分为不同的类别：A类基金份额和C类基金份额。两类基金份额分设不同的基金代码，并分别公布基金份额净值</w:t>
      </w:r>
    </w:p>
    <w:p>
      <w:pPr>
        <w:spacing w:line="360" w:lineRule="auto"/>
        <w:ind w:firstLine="480" w:firstLineChars="200"/>
        <w:rPr>
          <w:bCs/>
          <w:sz w:val="24"/>
        </w:rPr>
      </w:pPr>
      <w:r>
        <w:rPr>
          <w:rFonts w:hint="eastAsia"/>
          <w:bCs/>
          <w:sz w:val="24"/>
        </w:rPr>
        <w:t>61、A类基金份额：在投资者认购或申购时收取认购费或申购费，但不从本类别基金资产中计提销售服务费的，称为A类基金份额</w:t>
      </w:r>
    </w:p>
    <w:p>
      <w:pPr>
        <w:spacing w:line="360" w:lineRule="auto"/>
        <w:ind w:firstLine="480" w:firstLineChars="200"/>
        <w:rPr>
          <w:bCs/>
          <w:sz w:val="24"/>
        </w:rPr>
      </w:pPr>
      <w:r>
        <w:rPr>
          <w:rFonts w:hint="eastAsia"/>
          <w:bCs/>
          <w:sz w:val="24"/>
        </w:rPr>
        <w:t>62、C类基金份额：在投资者认购或申购时不收取认购费或申购费，而从本类别基金资产中计提销售服务费的，称为C类基金份额</w:t>
      </w:r>
      <w:bookmarkStart w:id="479" w:name="_GoBack"/>
      <w:bookmarkEnd w:id="479"/>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51" w:name="_Toc24571"/>
      <w:bookmarkStart w:id="52" w:name="_Toc20318"/>
      <w:bookmarkStart w:id="53" w:name="_Toc13288"/>
      <w:bookmarkStart w:id="54" w:name="_Toc545"/>
      <w:bookmarkStart w:id="55" w:name="_Toc6683"/>
      <w:bookmarkStart w:id="56" w:name="_Toc22708"/>
      <w:bookmarkStart w:id="57" w:name="_Toc20627"/>
      <w:bookmarkStart w:id="58" w:name="_Toc6149"/>
      <w:bookmarkStart w:id="59" w:name="_Toc18631"/>
      <w:bookmarkStart w:id="60" w:name="_Toc481653674"/>
      <w:bookmarkStart w:id="61" w:name="_Toc20237402"/>
      <w:bookmarkStart w:id="62" w:name="_Toc733"/>
      <w:bookmarkStart w:id="63" w:name="_Toc258829400"/>
      <w:bookmarkStart w:id="64" w:name="_Toc233456272"/>
      <w:r>
        <w:rPr>
          <w:rFonts w:ascii="Times New Roman"/>
          <w:color w:val="auto"/>
          <w:sz w:val="30"/>
        </w:rPr>
        <w:t>第三部分</w:t>
      </w:r>
      <w:r>
        <w:rPr>
          <w:rFonts w:hint="eastAsia" w:ascii="Times New Roman"/>
          <w:color w:val="auto"/>
          <w:sz w:val="30"/>
        </w:rPr>
        <w:t xml:space="preserve"> </w:t>
      </w:r>
      <w:r>
        <w:rPr>
          <w:rFonts w:ascii="Times New Roman"/>
          <w:color w:val="auto"/>
          <w:sz w:val="30"/>
        </w:rPr>
        <w:t>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bCs/>
          <w:sz w:val="24"/>
        </w:rPr>
      </w:pPr>
      <w:bookmarkStart w:id="66" w:name="_Hlt88031774"/>
      <w:bookmarkEnd w:id="66"/>
      <w:bookmarkStart w:id="67" w:name="_Hlt88031741"/>
    </w:p>
    <w:bookmarkEnd w:id="67"/>
    <w:p>
      <w:pPr>
        <w:spacing w:line="360" w:lineRule="auto"/>
        <w:ind w:firstLine="480" w:firstLineChars="200"/>
        <w:rPr>
          <w:bCs/>
          <w:sz w:val="24"/>
        </w:rPr>
      </w:pPr>
      <w:r>
        <w:rPr>
          <w:bCs/>
          <w:sz w:val="24"/>
        </w:rPr>
        <w:t>一、基金名称</w:t>
      </w:r>
      <w:bookmarkEnd w:id="65"/>
    </w:p>
    <w:p>
      <w:pPr>
        <w:spacing w:line="360" w:lineRule="auto"/>
        <w:ind w:firstLine="480" w:firstLineChars="200"/>
        <w:rPr>
          <w:bCs/>
          <w:sz w:val="24"/>
        </w:rPr>
      </w:pPr>
      <w:r>
        <w:rPr>
          <w:rFonts w:hint="eastAsia"/>
          <w:bCs/>
          <w:sz w:val="24"/>
        </w:rPr>
        <w:t>华安添福18个月持有期混合型</w:t>
      </w:r>
      <w:r>
        <w:rPr>
          <w:bCs/>
          <w:sz w:val="24"/>
        </w:rPr>
        <w:t>证券投资基金</w:t>
      </w:r>
    </w:p>
    <w:p>
      <w:pPr>
        <w:spacing w:line="360" w:lineRule="auto"/>
        <w:ind w:firstLine="480" w:firstLineChars="200"/>
        <w:rPr>
          <w:bCs/>
          <w:sz w:val="24"/>
        </w:rPr>
      </w:pPr>
    </w:p>
    <w:p>
      <w:pPr>
        <w:spacing w:line="360" w:lineRule="auto"/>
        <w:ind w:firstLine="480" w:firstLineChars="200"/>
        <w:rPr>
          <w:bCs/>
          <w:sz w:val="24"/>
        </w:rPr>
      </w:pPr>
      <w:bookmarkStart w:id="68" w:name="_Toc79392574"/>
      <w:r>
        <w:rPr>
          <w:bCs/>
          <w:sz w:val="24"/>
        </w:rPr>
        <w:t>二、基金的类别</w:t>
      </w:r>
      <w:bookmarkEnd w:id="68"/>
    </w:p>
    <w:p>
      <w:pPr>
        <w:spacing w:line="360" w:lineRule="auto"/>
        <w:ind w:firstLine="480" w:firstLineChars="200"/>
        <w:rPr>
          <w:bCs/>
          <w:sz w:val="24"/>
        </w:rPr>
      </w:pPr>
      <w:r>
        <w:rPr>
          <w:rFonts w:hint="eastAsia"/>
          <w:bCs/>
          <w:sz w:val="24"/>
        </w:rPr>
        <w:t>混合型</w:t>
      </w:r>
      <w:r>
        <w:rPr>
          <w:bCs/>
          <w:sz w:val="24"/>
        </w:rPr>
        <w:t>证券投资基金</w:t>
      </w:r>
    </w:p>
    <w:p>
      <w:pPr>
        <w:spacing w:line="360" w:lineRule="auto"/>
        <w:ind w:firstLine="480" w:firstLineChars="200"/>
        <w:rPr>
          <w:bCs/>
          <w:sz w:val="24"/>
        </w:rPr>
      </w:pPr>
    </w:p>
    <w:p>
      <w:pPr>
        <w:spacing w:line="360" w:lineRule="auto"/>
        <w:ind w:firstLine="480" w:firstLineChars="200"/>
        <w:rPr>
          <w:bCs/>
          <w:sz w:val="24"/>
        </w:rPr>
      </w:pPr>
      <w:bookmarkStart w:id="69" w:name="_Toc79392575"/>
      <w:r>
        <w:rPr>
          <w:bCs/>
          <w:sz w:val="24"/>
        </w:rPr>
        <w:t>三、基金的运作方式</w:t>
      </w:r>
    </w:p>
    <w:p>
      <w:pPr>
        <w:spacing w:line="360" w:lineRule="auto"/>
        <w:ind w:firstLine="480" w:firstLineChars="200"/>
        <w:rPr>
          <w:bCs/>
          <w:sz w:val="24"/>
        </w:rPr>
      </w:pPr>
      <w:r>
        <w:rPr>
          <w:bCs/>
          <w:sz w:val="24"/>
        </w:rPr>
        <w:t>契约型开放式</w:t>
      </w:r>
    </w:p>
    <w:p>
      <w:pPr>
        <w:spacing w:line="360" w:lineRule="auto"/>
        <w:ind w:firstLine="480" w:firstLineChars="200"/>
        <w:rPr>
          <w:bCs/>
          <w:sz w:val="24"/>
        </w:rPr>
      </w:pPr>
      <w:r>
        <w:rPr>
          <w:rFonts w:hint="eastAsia"/>
          <w:bCs/>
          <w:sz w:val="24"/>
        </w:rPr>
        <w:t>自基金合同生效日（含）（对于认购份额而言）起或自基金份额申购确认日（含）（对于申购份额而言）起至18个公历月后对应日（如该对应日为非工作日或无该对应日，则顺延至下一个工作日）之前一日止的期间为最短持有期限，最短持有期限内基金份额持有人不可办理赎回及转换转出业务。每份基金份额的最短持有期限结束日的下一工作日（含）起，基金份额持有人可办理赎回及转换转出业务。</w:t>
      </w:r>
    </w:p>
    <w:p>
      <w:pPr>
        <w:spacing w:line="360" w:lineRule="auto"/>
        <w:ind w:firstLine="480" w:firstLineChars="200"/>
        <w:rPr>
          <w:bCs/>
          <w:sz w:val="24"/>
        </w:rPr>
      </w:pPr>
    </w:p>
    <w:p>
      <w:pPr>
        <w:spacing w:line="360" w:lineRule="auto"/>
        <w:ind w:firstLine="480" w:firstLineChars="200"/>
        <w:rPr>
          <w:bCs/>
          <w:sz w:val="24"/>
        </w:rPr>
      </w:pPr>
      <w:r>
        <w:rPr>
          <w:bCs/>
          <w:sz w:val="24"/>
        </w:rPr>
        <w:t>四、基金的投资目标</w:t>
      </w:r>
      <w:bookmarkEnd w:id="69"/>
    </w:p>
    <w:p>
      <w:pPr>
        <w:spacing w:line="360" w:lineRule="auto"/>
        <w:ind w:firstLine="480" w:firstLineChars="200"/>
        <w:rPr>
          <w:bCs/>
          <w:sz w:val="24"/>
        </w:rPr>
      </w:pPr>
      <w:bookmarkStart w:id="70" w:name="_Toc79392576"/>
      <w:r>
        <w:rPr>
          <w:rFonts w:hint="eastAsia"/>
          <w:bCs/>
          <w:sz w:val="24"/>
        </w:rPr>
        <w:t>本基金在一定程度上控制组合净值波动率的前提下，力争长期内实现超越业绩比较基准的投资回报。</w:t>
      </w:r>
    </w:p>
    <w:p>
      <w:pPr>
        <w:spacing w:line="360" w:lineRule="auto"/>
        <w:ind w:firstLine="480" w:firstLineChars="200"/>
        <w:rPr>
          <w:bCs/>
          <w:sz w:val="24"/>
        </w:rPr>
      </w:pPr>
    </w:p>
    <w:p>
      <w:pPr>
        <w:spacing w:line="360" w:lineRule="auto"/>
        <w:ind w:firstLine="480" w:firstLineChars="200"/>
        <w:rPr>
          <w:bCs/>
          <w:sz w:val="24"/>
        </w:rPr>
      </w:pPr>
      <w:r>
        <w:rPr>
          <w:bCs/>
          <w:sz w:val="24"/>
        </w:rPr>
        <w:t>五、基金的最低募集份额总额</w:t>
      </w:r>
      <w:bookmarkEnd w:id="70"/>
    </w:p>
    <w:p>
      <w:pPr>
        <w:spacing w:line="360" w:lineRule="auto"/>
        <w:ind w:firstLine="480" w:firstLineChars="200"/>
        <w:rPr>
          <w:bCs/>
          <w:sz w:val="24"/>
        </w:rPr>
      </w:pPr>
      <w:r>
        <w:rPr>
          <w:bCs/>
          <w:sz w:val="24"/>
        </w:rPr>
        <w:t>本基金的最低募集份额总额为</w:t>
      </w:r>
      <w:r>
        <w:rPr>
          <w:rFonts w:hint="eastAsia"/>
          <w:bCs/>
          <w:sz w:val="24"/>
        </w:rPr>
        <w:t>2亿份</w:t>
      </w:r>
      <w:r>
        <w:rPr>
          <w:bCs/>
          <w:sz w:val="24"/>
        </w:rPr>
        <w:t>。</w:t>
      </w:r>
    </w:p>
    <w:p>
      <w:pPr>
        <w:spacing w:line="360" w:lineRule="auto"/>
        <w:ind w:firstLine="480" w:firstLineChars="200"/>
        <w:rPr>
          <w:bCs/>
          <w:sz w:val="24"/>
        </w:rPr>
      </w:pPr>
    </w:p>
    <w:p>
      <w:pPr>
        <w:spacing w:line="360" w:lineRule="auto"/>
        <w:ind w:firstLine="480" w:firstLineChars="200"/>
        <w:rPr>
          <w:bCs/>
          <w:sz w:val="24"/>
        </w:rPr>
      </w:pPr>
      <w:bookmarkStart w:id="71" w:name="_Toc79392577"/>
      <w:r>
        <w:rPr>
          <w:bCs/>
          <w:sz w:val="24"/>
        </w:rPr>
        <w:t>六、基金份额</w:t>
      </w:r>
      <w:r>
        <w:rPr>
          <w:rFonts w:hint="eastAsia"/>
          <w:bCs/>
          <w:sz w:val="24"/>
        </w:rPr>
        <w:t>发售</w:t>
      </w:r>
      <w:r>
        <w:rPr>
          <w:bCs/>
          <w:sz w:val="24"/>
        </w:rPr>
        <w:t>面值</w:t>
      </w:r>
      <w:bookmarkEnd w:id="71"/>
      <w:r>
        <w:rPr>
          <w:bCs/>
          <w:sz w:val="24"/>
        </w:rPr>
        <w:t>和认购费用</w:t>
      </w:r>
    </w:p>
    <w:p>
      <w:pPr>
        <w:spacing w:line="360" w:lineRule="auto"/>
        <w:ind w:firstLine="480" w:firstLineChars="200"/>
        <w:rPr>
          <w:bCs/>
          <w:sz w:val="24"/>
        </w:rPr>
      </w:pPr>
      <w:r>
        <w:rPr>
          <w:bCs/>
          <w:sz w:val="24"/>
        </w:rPr>
        <w:t>本基金基金份额发售面值为人民币</w:t>
      </w:r>
      <w:r>
        <w:rPr>
          <w:rFonts w:hint="eastAsia"/>
          <w:bCs/>
          <w:sz w:val="24"/>
        </w:rPr>
        <w:t>1.00</w:t>
      </w:r>
      <w:r>
        <w:rPr>
          <w:bCs/>
          <w:sz w:val="24"/>
        </w:rPr>
        <w:t>元。</w:t>
      </w:r>
    </w:p>
    <w:p>
      <w:pPr>
        <w:spacing w:line="360" w:lineRule="auto"/>
        <w:ind w:firstLine="480" w:firstLineChars="200"/>
        <w:rPr>
          <w:bCs/>
          <w:sz w:val="24"/>
        </w:rPr>
      </w:pPr>
      <w:r>
        <w:rPr>
          <w:rFonts w:hint="eastAsia"/>
          <w:bCs/>
          <w:sz w:val="24"/>
        </w:rPr>
        <w:t>本基金C类基金份额不收取认购费，A类基金份额的认购</w:t>
      </w:r>
      <w:r>
        <w:rPr>
          <w:bCs/>
          <w:sz w:val="24"/>
        </w:rPr>
        <w:t>费率按招募说明书</w:t>
      </w:r>
      <w:r>
        <w:rPr>
          <w:rFonts w:hint="eastAsia"/>
          <w:bCs/>
          <w:sz w:val="24"/>
        </w:rPr>
        <w:t>及基金产品资料概要</w:t>
      </w:r>
      <w:r>
        <w:rPr>
          <w:bCs/>
          <w:sz w:val="24"/>
        </w:rPr>
        <w:t>的规定执行。</w:t>
      </w:r>
    </w:p>
    <w:p>
      <w:pPr>
        <w:spacing w:line="360" w:lineRule="auto"/>
        <w:ind w:firstLine="480" w:firstLineChars="200"/>
        <w:rPr>
          <w:bCs/>
          <w:sz w:val="24"/>
        </w:rPr>
      </w:pPr>
    </w:p>
    <w:p>
      <w:pPr>
        <w:spacing w:line="360" w:lineRule="auto"/>
        <w:ind w:firstLine="480" w:firstLineChars="200"/>
        <w:rPr>
          <w:bCs/>
          <w:sz w:val="24"/>
        </w:rPr>
      </w:pPr>
      <w:bookmarkStart w:id="72" w:name="_Toc79392578"/>
      <w:r>
        <w:rPr>
          <w:bCs/>
          <w:sz w:val="24"/>
        </w:rPr>
        <w:t>七、基金存续期限</w:t>
      </w:r>
      <w:bookmarkEnd w:id="72"/>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八、基金份额的类别</w:t>
      </w:r>
    </w:p>
    <w:p>
      <w:pPr>
        <w:spacing w:line="360" w:lineRule="auto"/>
        <w:ind w:firstLine="480" w:firstLineChars="200"/>
        <w:rPr>
          <w:bCs/>
          <w:sz w:val="24"/>
        </w:rPr>
      </w:pPr>
      <w:r>
        <w:rPr>
          <w:rFonts w:hint="eastAsia"/>
          <w:bCs/>
          <w:sz w:val="24"/>
        </w:rPr>
        <w:t>本基金根据是否收取认购/申购费和销售服务费，将基金份额分为不同的类别。在投资者认购或申购时收取认购费或申购费，但不从本类别基金资产中计提销售服务费的，称为A类基金份额；在投资者认购或申购时不收取认购费或申购费，而从本类别基金资产中计提销售服务费的，称为C类基金份额。</w:t>
      </w:r>
    </w:p>
    <w:p>
      <w:pPr>
        <w:spacing w:line="360" w:lineRule="auto"/>
        <w:ind w:firstLine="480" w:firstLineChars="200"/>
        <w:rPr>
          <w:bCs/>
          <w:sz w:val="24"/>
        </w:rPr>
      </w:pPr>
      <w:r>
        <w:rPr>
          <w:rFonts w:hint="eastAsia"/>
          <w:bCs/>
          <w:sz w:val="24"/>
        </w:rPr>
        <w:t>本基金A类基金份额和C类基金份额分别设置代码。由于基金费用的不同，本基金A类基金份额和C类基金份额将分别计算并公告基金份额净值。</w:t>
      </w:r>
    </w:p>
    <w:p>
      <w:pPr>
        <w:spacing w:line="360" w:lineRule="auto"/>
        <w:ind w:firstLine="480" w:firstLineChars="200"/>
        <w:rPr>
          <w:bCs/>
          <w:sz w:val="24"/>
        </w:rPr>
      </w:pPr>
      <w:r>
        <w:rPr>
          <w:rFonts w:hint="eastAsia"/>
          <w:bCs/>
          <w:sz w:val="24"/>
        </w:rPr>
        <w:t>投资者可自行选择认购、申购的基金份额类别。</w:t>
      </w:r>
    </w:p>
    <w:p>
      <w:pPr>
        <w:spacing w:line="360" w:lineRule="auto"/>
        <w:ind w:firstLine="480" w:firstLineChars="200"/>
        <w:rPr>
          <w:bCs/>
          <w:sz w:val="24"/>
        </w:rPr>
      </w:pPr>
      <w:r>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并报中国证监会备案。</w:t>
      </w:r>
    </w:p>
    <w:p>
      <w:pPr>
        <w:pStyle w:val="2"/>
        <w:spacing w:before="0" w:after="0"/>
        <w:jc w:val="center"/>
        <w:rPr>
          <w:rFonts w:ascii="Times New Roman"/>
          <w:color w:val="auto"/>
          <w:sz w:val="30"/>
        </w:rPr>
      </w:pPr>
      <w:r>
        <w:rPr>
          <w:rFonts w:ascii="Times New Roman"/>
          <w:b w:val="0"/>
          <w:bCs/>
          <w:color w:val="auto"/>
          <w:kern w:val="44"/>
          <w:sz w:val="21"/>
        </w:rPr>
        <w:br w:type="page"/>
      </w:r>
      <w:bookmarkStart w:id="73" w:name="_Toc90742321"/>
      <w:bookmarkStart w:id="74" w:name="_Toc29948"/>
      <w:bookmarkStart w:id="75" w:name="_Toc27189"/>
      <w:bookmarkStart w:id="76" w:name="_Toc6714"/>
      <w:bookmarkStart w:id="77" w:name="_Toc7151"/>
      <w:bookmarkStart w:id="78" w:name="_Toc90742390"/>
      <w:bookmarkStart w:id="79" w:name="_Toc481653675"/>
      <w:bookmarkStart w:id="80" w:name="_Toc29784"/>
      <w:bookmarkStart w:id="81" w:name="_Toc15203"/>
      <w:bookmarkStart w:id="82" w:name="_Toc3266"/>
      <w:bookmarkStart w:id="83" w:name="_Toc16265"/>
      <w:bookmarkStart w:id="84" w:name="_Toc90742688"/>
      <w:bookmarkStart w:id="85" w:name="_Toc22074"/>
      <w:bookmarkStart w:id="86" w:name="_Toc27226"/>
      <w:bookmarkStart w:id="87" w:name="_Toc20237403"/>
      <w:r>
        <w:rPr>
          <w:rFonts w:ascii="Times New Roman"/>
          <w:color w:val="auto"/>
          <w:sz w:val="30"/>
        </w:rPr>
        <w:t>第四部分</w:t>
      </w:r>
      <w:r>
        <w:rPr>
          <w:rFonts w:hint="eastAsia"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通过各销售机构的基金销售网点公开发售，各销售机构的具体名单见基金管理人</w:t>
      </w:r>
      <w:r>
        <w:rPr>
          <w:rFonts w:hint="eastAsia"/>
          <w:bCs/>
          <w:sz w:val="24"/>
        </w:rPr>
        <w:t>披露</w:t>
      </w:r>
      <w:r>
        <w:rPr>
          <w:bCs/>
          <w:sz w:val="24"/>
        </w:rPr>
        <w:t>的</w:t>
      </w:r>
      <w:r>
        <w:rPr>
          <w:rFonts w:hint="eastAsia"/>
          <w:bCs/>
          <w:sz w:val="24"/>
        </w:rPr>
        <w:t>基金</w:t>
      </w:r>
      <w:r>
        <w:rPr>
          <w:bCs/>
          <w:sz w:val="24"/>
        </w:rPr>
        <w:t>销售机构</w:t>
      </w:r>
      <w:r>
        <w:rPr>
          <w:rFonts w:hint="eastAsia"/>
          <w:bCs/>
          <w:sz w:val="24"/>
        </w:rPr>
        <w:t>名录</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w:t>
      </w:r>
      <w:r>
        <w:rPr>
          <w:rFonts w:hint="eastAsia"/>
          <w:bCs/>
          <w:sz w:val="24"/>
        </w:rPr>
        <w:t>A类基金份额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中列示。基金认购费用不列入基金财产。C类基金份额不收取认购费用</w:t>
      </w:r>
      <w:r>
        <w:rPr>
          <w:rFonts w:hint="eastAsia"/>
          <w:bCs/>
          <w:sz w:val="24"/>
        </w:rPr>
        <w:t>。</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的具体</w:t>
      </w:r>
      <w:r>
        <w:rPr>
          <w:bCs/>
          <w:sz w:val="24"/>
        </w:rPr>
        <w:t>数额以登记机构的记录为准。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pPr>
        <w:spacing w:line="360" w:lineRule="auto"/>
        <w:ind w:firstLine="480" w:firstLineChars="200"/>
        <w:rPr>
          <w:bCs/>
          <w:sz w:val="24"/>
        </w:rPr>
      </w:pPr>
      <w:r>
        <w:rPr>
          <w:rFonts w:hint="eastAsia"/>
          <w:bCs/>
          <w:sz w:val="24"/>
        </w:rPr>
        <w:t>5、认购申请的确认</w:t>
      </w:r>
    </w:p>
    <w:p>
      <w:pPr>
        <w:spacing w:line="360" w:lineRule="auto"/>
        <w:ind w:firstLine="480" w:firstLineChars="20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基金投资者在募集期内可多次认购，认购一经受理不得撤销。</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pPr>
        <w:spacing w:line="360" w:lineRule="auto"/>
        <w:ind w:firstLine="480" w:firstLineChars="200"/>
        <w:rPr>
          <w:bCs/>
          <w:sz w:val="24"/>
        </w:rPr>
      </w:pPr>
      <w:r>
        <w:rPr>
          <w:rFonts w:hint="eastAsia"/>
          <w:bCs/>
          <w:sz w:val="24"/>
        </w:rPr>
        <w:t>4、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89" w:name="_Toc18526"/>
      <w:bookmarkStart w:id="90" w:name="_Toc481653676"/>
      <w:bookmarkStart w:id="91" w:name="_Toc21988"/>
      <w:bookmarkStart w:id="92" w:name="_Toc1823"/>
      <w:bookmarkStart w:id="93" w:name="_Toc17912"/>
      <w:bookmarkStart w:id="94" w:name="_Toc14893"/>
      <w:bookmarkStart w:id="95" w:name="_Toc7848"/>
      <w:bookmarkStart w:id="96" w:name="_Toc139991735"/>
      <w:bookmarkStart w:id="97" w:name="_Toc20237404"/>
      <w:bookmarkStart w:id="98" w:name="_Toc18797"/>
      <w:bookmarkStart w:id="99" w:name="_Toc26986"/>
      <w:bookmarkStart w:id="100" w:name="_Toc4741"/>
      <w:bookmarkStart w:id="101" w:name="_Toc18329"/>
      <w:bookmarkStart w:id="102" w:name="_Toc141703885"/>
      <w:r>
        <w:rPr>
          <w:rFonts w:ascii="Times New Roman"/>
          <w:color w:val="auto"/>
          <w:sz w:val="30"/>
        </w:rPr>
        <w:t>第五部分</w:t>
      </w:r>
      <w:r>
        <w:rPr>
          <w:rFonts w:hint="eastAsia"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rFonts w:hint="eastAsia"/>
          <w:bCs/>
          <w:sz w:val="24"/>
        </w:rPr>
        <w:t>《基金合同》生效后，连续20个工作日出现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5000万元情形</w:t>
      </w:r>
      <w:r>
        <w:rPr>
          <w:bCs/>
          <w:sz w:val="24"/>
        </w:rPr>
        <w:t>的，基金管理人应</w:t>
      </w:r>
      <w:r>
        <w:rPr>
          <w:rFonts w:hint="eastAsia"/>
          <w:bCs/>
          <w:sz w:val="24"/>
        </w:rPr>
        <w:t>当在定期报告中予以披露</w:t>
      </w:r>
      <w:r>
        <w:rPr>
          <w:bCs/>
          <w:sz w:val="24"/>
        </w:rPr>
        <w:t>；</w:t>
      </w:r>
      <w:r>
        <w:rPr>
          <w:rFonts w:hint="eastAsia"/>
          <w:bCs/>
          <w:sz w:val="24"/>
        </w:rPr>
        <w:t>连续60个工作日出现前述情形的，基金</w:t>
      </w:r>
      <w:r>
        <w:rPr>
          <w:bCs/>
          <w:sz w:val="24"/>
        </w:rPr>
        <w:t>管理人</w:t>
      </w:r>
      <w:r>
        <w:rPr>
          <w:rFonts w:hint="eastAsia"/>
          <w:bCs/>
          <w:sz w:val="24"/>
        </w:rPr>
        <w:t>应当在10个工作日内向中国证监会报告并提出解决方案，如持续运作、转换运作方式、与其他基金合并或者终止基金合同等，并在6个月内召开基金份额持有人大会进行表决。</w:t>
      </w:r>
    </w:p>
    <w:p>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pPr>
        <w:pStyle w:val="2"/>
        <w:spacing w:before="0" w:after="0"/>
        <w:rPr>
          <w:rFonts w:ascii="Times New Roman"/>
          <w:color w:val="auto"/>
          <w:sz w:val="30"/>
        </w:rPr>
        <w:sectPr>
          <w:headerReference r:id="rId10" w:type="default"/>
          <w:footerReference r:id="rId11" w:type="default"/>
          <w:pgSz w:w="11906" w:h="16838"/>
          <w:pgMar w:top="1440" w:right="1800" w:bottom="1440" w:left="1800" w:header="851" w:footer="992" w:gutter="0"/>
          <w:pgNumType w:start="1"/>
          <w:cols w:space="720" w:num="1"/>
          <w:docGrid w:type="lines" w:linePitch="312" w:charSpace="0"/>
        </w:sectPr>
      </w:pPr>
      <w:bookmarkStart w:id="103" w:name="_Toc10463"/>
      <w:bookmarkStart w:id="104" w:name="_Toc20733"/>
      <w:bookmarkStart w:id="105" w:name="_Toc123102453"/>
      <w:bookmarkStart w:id="106" w:name="_Toc139991736"/>
      <w:bookmarkStart w:id="107" w:name="_Toc4003"/>
      <w:bookmarkStart w:id="108" w:name="_Toc98560352"/>
      <w:bookmarkStart w:id="109" w:name="_Toc48649707"/>
      <w:bookmarkStart w:id="110" w:name="_Toc23261"/>
      <w:bookmarkStart w:id="111" w:name="_Toc17244"/>
      <w:bookmarkStart w:id="112" w:name="_Toc610"/>
      <w:bookmarkStart w:id="113" w:name="_Toc1270"/>
      <w:bookmarkStart w:id="114" w:name="_Toc141703886"/>
      <w:bookmarkStart w:id="115" w:name="_Toc23822"/>
      <w:bookmarkStart w:id="116" w:name="_Toc79392606"/>
      <w:bookmarkStart w:id="117" w:name="_Toc7920"/>
      <w:bookmarkStart w:id="118" w:name="_Toc1427"/>
      <w:bookmarkStart w:id="119" w:name="_Toc123051452"/>
      <w:bookmarkStart w:id="120" w:name="_Toc123112234"/>
    </w:p>
    <w:p>
      <w:pPr>
        <w:pStyle w:val="2"/>
        <w:spacing w:before="0" w:after="0"/>
        <w:jc w:val="center"/>
        <w:rPr>
          <w:rFonts w:ascii="Times New Roman"/>
          <w:color w:val="auto"/>
          <w:sz w:val="30"/>
        </w:rPr>
      </w:pPr>
      <w:bookmarkStart w:id="121" w:name="_Toc20237405"/>
      <w:bookmarkStart w:id="122" w:name="_Toc481653677"/>
      <w:r>
        <w:rPr>
          <w:rFonts w:ascii="Times New Roman"/>
          <w:color w:val="auto"/>
          <w:sz w:val="30"/>
        </w:rPr>
        <w:t>第</w:t>
      </w:r>
      <w:r>
        <w:rPr>
          <w:rFonts w:hint="eastAsia" w:ascii="Times New Roman"/>
          <w:color w:val="auto"/>
          <w:sz w:val="30"/>
        </w:rPr>
        <w:t>六</w:t>
      </w:r>
      <w:r>
        <w:rPr>
          <w:rFonts w:ascii="Times New Roman"/>
          <w:color w:val="auto"/>
          <w:sz w:val="30"/>
        </w:rPr>
        <w:t>部分</w:t>
      </w:r>
      <w:r>
        <w:rPr>
          <w:rFonts w:hint="eastAsia"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80" w:firstLineChars="20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bCs/>
        </w:rPr>
      </w:pPr>
      <w:r>
        <w:rPr>
          <w:bCs/>
          <w:sz w:val="24"/>
        </w:rPr>
        <w:t>本基金的申购与赎回将通过销售机构进行。</w:t>
      </w:r>
      <w:r>
        <w:rPr>
          <w:rFonts w:hint="eastAsia"/>
          <w:bCs/>
          <w:sz w:val="24"/>
        </w:rPr>
        <w:t>销售机构的具体信息</w:t>
      </w:r>
      <w:r>
        <w:rPr>
          <w:bCs/>
          <w:sz w:val="24"/>
        </w:rPr>
        <w:t>将由基金管理人在招募说明书或其他相关公告中列明。基金管理人可根据情况变更或增减销售机构，</w:t>
      </w:r>
      <w:r>
        <w:rPr>
          <w:rFonts w:hint="eastAsia"/>
          <w:bCs/>
          <w:sz w:val="24"/>
        </w:rPr>
        <w:t>并在基金管理人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bCs/>
          <w:sz w:val="24"/>
        </w:rPr>
        <w:t>投资人在开放日办理基金份额的申购，</w:t>
      </w:r>
      <w:r>
        <w:rPr>
          <w:rFonts w:hint="eastAsia"/>
          <w:bCs/>
          <w:sz w:val="24"/>
        </w:rPr>
        <w:t>在每份基金份额的最短持有期限结束日的下一工作日（含）起可办理基金份额的赎回，</w:t>
      </w:r>
      <w:r>
        <w:rPr>
          <w:bCs/>
          <w:sz w:val="24"/>
        </w:rPr>
        <w:t>具体办理时间为上海证券交易所、深圳证券交易所的正常交易日的交易时间，但基金管理人根据法律法规、中国证监会的要求或本基金合同的规定公告暂停申购、赎回时除外。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w:t>
      </w:r>
      <w:r>
        <w:rPr>
          <w:rFonts w:hint="eastAsia"/>
          <w:bCs/>
          <w:sz w:val="24"/>
        </w:rPr>
        <w:t>/期货</w:t>
      </w:r>
      <w:r>
        <w:rPr>
          <w:bCs/>
          <w:sz w:val="24"/>
        </w:rPr>
        <w:t>交易市场、证券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开始办理申购，具体业务办理时间在申购开始公告中规定。</w:t>
      </w:r>
    </w:p>
    <w:p>
      <w:pPr>
        <w:spacing w:line="360" w:lineRule="auto"/>
        <w:ind w:firstLine="480" w:firstLineChars="200"/>
        <w:rPr>
          <w:bCs/>
          <w:sz w:val="24"/>
        </w:rPr>
      </w:pPr>
      <w:r>
        <w:rPr>
          <w:bCs/>
          <w:sz w:val="24"/>
        </w:rPr>
        <w:t>基金管理人自基金合同生效日</w:t>
      </w:r>
      <w:r>
        <w:rPr>
          <w:rFonts w:hint="eastAsia"/>
          <w:bCs/>
          <w:sz w:val="24"/>
        </w:rPr>
        <w:t>之18个公历月后对应日（含）起</w:t>
      </w:r>
      <w:r>
        <w:rPr>
          <w:bCs/>
          <w:sz w:val="24"/>
        </w:rPr>
        <w:t>开始办理赎回，具体业务办理时间在赎回开始公告中规定。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在确定申购开始与赎回开始时间后，基金管理人应在申购、赎回开放日前依照《信息披露办法》的有关规定在规定媒介上公告申购与赎回的开始时间。</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w:t>
      </w:r>
      <w:r>
        <w:rPr>
          <w:bCs/>
          <w:sz w:val="24"/>
        </w:rPr>
        <w:t>转换的价格。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p>
    <w:p>
      <w:pPr>
        <w:spacing w:line="360" w:lineRule="auto"/>
        <w:ind w:firstLine="480" w:firstLineChars="200"/>
        <w:rPr>
          <w:sz w:val="24"/>
        </w:rPr>
      </w:pPr>
      <w:r>
        <w:rPr>
          <w:rFonts w:hint="eastAsia"/>
          <w:bCs/>
          <w:sz w:val="24"/>
        </w:rPr>
        <w:t>5、办理申购、赎回业务时，应当遵循基金份额持有人利益优先原则</w:t>
      </w:r>
      <w:r>
        <w:rPr>
          <w:rFonts w:hint="eastAsia"/>
          <w:sz w:val="24"/>
        </w:rPr>
        <w:t>，确保投资者的合法权益不受损害并得到公平对待</w:t>
      </w:r>
      <w:r>
        <w:rPr>
          <w:rFonts w:hint="eastAsia"/>
          <w:bCs/>
          <w:sz w:val="24"/>
        </w:rPr>
        <w:t>；</w:t>
      </w:r>
    </w:p>
    <w:p>
      <w:pPr>
        <w:spacing w:line="360" w:lineRule="auto"/>
        <w:ind w:firstLine="480" w:firstLineChars="200"/>
        <w:rPr>
          <w:bCs/>
          <w:sz w:val="24"/>
        </w:rPr>
      </w:pPr>
      <w:r>
        <w:rPr>
          <w:bCs/>
          <w:sz w:val="24"/>
        </w:rPr>
        <w:t>6</w:t>
      </w:r>
      <w:r>
        <w:rPr>
          <w:rFonts w:hint="eastAsia"/>
          <w:bCs/>
          <w:sz w:val="24"/>
        </w:rPr>
        <w:t>、投资者办理申购、赎回等业务时应提交的文件和办理手续、办理时间、处理规则等在遵守基金合同和招募说明书规定的前提下，以各销售机构的具体规定为准</w:t>
      </w:r>
      <w:r>
        <w:rPr>
          <w:bCs/>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w:t>
      </w:r>
      <w:r>
        <w:rPr>
          <w:rFonts w:hint="eastAsia"/>
          <w:sz w:val="24"/>
        </w:rPr>
        <w:t>；基金份额登记机构确认基金份额时，申购生效</w:t>
      </w:r>
      <w:r>
        <w:rPr>
          <w:bCs/>
          <w:sz w:val="24"/>
          <w:lang w:val="zh-CN"/>
        </w:rPr>
        <w:t>。</w:t>
      </w:r>
    </w:p>
    <w:p>
      <w:pPr>
        <w:spacing w:line="360" w:lineRule="auto"/>
        <w:ind w:firstLine="480" w:firstLineChars="200"/>
        <w:rPr>
          <w:bCs/>
          <w:sz w:val="24"/>
        </w:rPr>
      </w:pPr>
      <w:r>
        <w:rPr>
          <w:rFonts w:hint="eastAsia"/>
          <w:bCs/>
          <w:sz w:val="24"/>
        </w:rPr>
        <w:t>基金份额持有人递交赎回申请，赎回成立；基金份额登记机构确认赎回时，赎回生效。</w:t>
      </w:r>
      <w:r>
        <w:rPr>
          <w:bCs/>
          <w:sz w:val="24"/>
        </w:rPr>
        <w:t>投资者赎回申请生效后，基金管理人将在T＋</w:t>
      </w:r>
      <w:r>
        <w:rPr>
          <w:rFonts w:hint="eastAsia"/>
          <w:bCs/>
          <w:sz w:val="24"/>
        </w:rPr>
        <w:t>7</w:t>
      </w:r>
      <w:r>
        <w:rPr>
          <w:bCs/>
          <w:sz w:val="24"/>
        </w:rPr>
        <w:t>日(包括该日)内支付赎回款项。</w:t>
      </w:r>
      <w:r>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至影响因素消除的下一工作日。</w:t>
      </w:r>
    </w:p>
    <w:p>
      <w:pPr>
        <w:spacing w:line="360" w:lineRule="auto"/>
        <w:ind w:firstLine="480" w:firstLineChars="200"/>
        <w:rPr>
          <w:bCs/>
          <w:sz w:val="24"/>
        </w:rPr>
      </w:pPr>
      <w:r>
        <w:rPr>
          <w:bCs/>
          <w:sz w:val="24"/>
        </w:rPr>
        <w:t>在发生巨额赎回或本基金合同载明的其他暂停赎回或延缓支付赎回款项的情形时，款项的支付办法参照本基金合同有关条款处理。</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日后(包括该日)</w:t>
      </w:r>
      <w:r>
        <w:rPr>
          <w:rFonts w:hint="eastAsia"/>
          <w:bCs/>
          <w:sz w:val="24"/>
        </w:rPr>
        <w:t>及时</w:t>
      </w:r>
      <w:r>
        <w:rPr>
          <w:bCs/>
          <w:sz w:val="24"/>
        </w:rPr>
        <w:t>到销售</w:t>
      </w:r>
      <w:r>
        <w:rPr>
          <w:rFonts w:hint="eastAsia"/>
          <w:bCs/>
          <w:sz w:val="24"/>
        </w:rPr>
        <w:t>机构</w:t>
      </w:r>
      <w:r>
        <w:rPr>
          <w:bCs/>
          <w:sz w:val="24"/>
        </w:rPr>
        <w:t>柜台或以销售机构规定的其他方式查询申请的确认情况。若申购不成功，则申购款项退还给投资人。</w:t>
      </w:r>
    </w:p>
    <w:p>
      <w:pPr>
        <w:spacing w:line="360" w:lineRule="auto"/>
        <w:ind w:firstLine="480" w:firstLineChars="200"/>
        <w:rPr>
          <w:bCs/>
          <w:sz w:val="24"/>
        </w:rPr>
      </w:pPr>
      <w:r>
        <w:rPr>
          <w:bCs/>
          <w:sz w:val="24"/>
          <w:lang w:val="zh-CN"/>
        </w:rPr>
        <w:t>基金管理人可以在法律法规和基金合同允许的范围内，对上述业务办理时间进行调整，</w:t>
      </w:r>
      <w:r>
        <w:rPr>
          <w:rFonts w:hint="eastAsia"/>
          <w:bCs/>
          <w:sz w:val="24"/>
          <w:lang w:val="zh-CN"/>
        </w:rPr>
        <w:t>并</w:t>
      </w:r>
      <w:r>
        <w:rPr>
          <w:bCs/>
          <w:sz w:val="24"/>
          <w:lang w:val="zh-CN"/>
        </w:rPr>
        <w:t>在调整</w:t>
      </w:r>
      <w:r>
        <w:rPr>
          <w:rFonts w:hint="eastAsia"/>
          <w:bCs/>
          <w:sz w:val="24"/>
          <w:lang w:val="zh-CN"/>
        </w:rPr>
        <w:t>实施</w:t>
      </w:r>
      <w:r>
        <w:rPr>
          <w:bCs/>
          <w:sz w:val="24"/>
          <w:lang w:val="zh-CN"/>
        </w:rPr>
        <w:t>前依照《信息披露办法》的有关规定在规定媒介上公告。</w:t>
      </w:r>
    </w:p>
    <w:p>
      <w:pPr>
        <w:spacing w:line="360" w:lineRule="auto"/>
        <w:ind w:firstLine="480" w:firstLineChars="200"/>
        <w:rPr>
          <w:bCs/>
          <w:sz w:val="24"/>
        </w:rPr>
      </w:pPr>
      <w:r>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w:t>
      </w:r>
      <w:r>
        <w:rPr>
          <w:rFonts w:hint="eastAsia"/>
          <w:bCs/>
          <w:sz w:val="24"/>
        </w:rPr>
        <w:t>、本基金A类基金份额和C类基金份额分别设置基金代码，并分别公布基金份额净值。</w:t>
      </w:r>
      <w:r>
        <w:rPr>
          <w:bCs/>
          <w:sz w:val="24"/>
        </w:rPr>
        <w:t>本基金</w:t>
      </w:r>
      <w:r>
        <w:rPr>
          <w:rFonts w:hint="eastAsia"/>
          <w:bCs/>
          <w:sz w:val="24"/>
        </w:rPr>
        <w:t>各类基金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位四舍五入，由此产生的收益或损失由基金财产承担。T日的</w:t>
      </w:r>
      <w:r>
        <w:rPr>
          <w:rFonts w:hint="eastAsia"/>
          <w:bCs/>
          <w:sz w:val="24"/>
        </w:rPr>
        <w:t>各类</w:t>
      </w:r>
      <w:r>
        <w:rPr>
          <w:bCs/>
          <w:sz w:val="24"/>
        </w:rPr>
        <w:t>基金份额净值在当天收市后计算，并在T+</w:t>
      </w:r>
      <w:r>
        <w:rPr>
          <w:rFonts w:hint="eastAsia"/>
          <w:bCs/>
          <w:sz w:val="24"/>
        </w:rPr>
        <w:t>1</w:t>
      </w:r>
      <w:r>
        <w:rPr>
          <w:bCs/>
          <w:sz w:val="24"/>
        </w:rPr>
        <w:t>日内公告。遇特殊情况，</w:t>
      </w:r>
      <w:r>
        <w:rPr>
          <w:rFonts w:hint="eastAsia"/>
          <w:sz w:val="24"/>
        </w:rPr>
        <w:t>经履行适当程序</w:t>
      </w:r>
      <w:r>
        <w:rPr>
          <w:bCs/>
          <w:sz w:val="24"/>
        </w:rPr>
        <w:t>，可以适当延迟计算或公告。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该类别</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该类别</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4</w:t>
      </w:r>
      <w:r>
        <w:rPr>
          <w:rFonts w:hint="eastAsia"/>
          <w:bCs/>
          <w:sz w:val="24"/>
        </w:rPr>
        <w:t>、</w:t>
      </w:r>
      <w:r>
        <w:rPr>
          <w:bCs/>
          <w:sz w:val="24"/>
        </w:rPr>
        <w:t>申购费用由</w:t>
      </w:r>
      <w:r>
        <w:rPr>
          <w:rFonts w:hint="eastAsia"/>
          <w:bCs/>
          <w:sz w:val="24"/>
        </w:rPr>
        <w:t>申购本基金</w:t>
      </w:r>
      <w:r>
        <w:rPr>
          <w:bCs/>
          <w:sz w:val="24"/>
        </w:rPr>
        <w:t>A类</w:t>
      </w:r>
      <w:r>
        <w:rPr>
          <w:rFonts w:hint="eastAsia"/>
          <w:bCs/>
          <w:sz w:val="24"/>
        </w:rPr>
        <w:t>基金份额的</w:t>
      </w:r>
      <w:r>
        <w:rPr>
          <w:bCs/>
          <w:sz w:val="24"/>
        </w:rPr>
        <w:t>投资人承担，不列入基金财产。</w:t>
      </w:r>
      <w:r>
        <w:rPr>
          <w:rFonts w:hint="eastAsia"/>
          <w:bCs/>
          <w:sz w:val="24"/>
        </w:rPr>
        <w:t>C类基金份额不收取申购费用。</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赎回费用归入基金财产的比例依照相关法律法规设定，具体见招募说明书的规定，未归入基金财产的部分用于支付登记费和其他必要的手续费。</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spacing w:line="360" w:lineRule="auto"/>
        <w:ind w:firstLine="480" w:firstLineChars="200"/>
        <w:rPr>
          <w:bCs/>
          <w:sz w:val="24"/>
        </w:rPr>
      </w:pPr>
      <w:r>
        <w:rPr>
          <w:bCs/>
          <w:sz w:val="24"/>
        </w:rPr>
        <w:t>7、基金管理人可以在不违反法律法规规定及基金合同约定</w:t>
      </w:r>
      <w:r>
        <w:rPr>
          <w:rFonts w:hint="eastAsia"/>
          <w:bCs/>
          <w:sz w:val="24"/>
        </w:rPr>
        <w:t>且对基金份额持有人利益无实质性不利影响</w:t>
      </w:r>
      <w:r>
        <w:rPr>
          <w:bCs/>
          <w:sz w:val="24"/>
        </w:rPr>
        <w:t>的情形下根据市场情况制定基金促销计划，针对基金投资</w:t>
      </w:r>
      <w:r>
        <w:rPr>
          <w:rFonts w:hint="eastAsia"/>
          <w:bCs/>
          <w:sz w:val="24"/>
        </w:rPr>
        <w:t>者</w:t>
      </w:r>
      <w:r>
        <w:rPr>
          <w:bCs/>
          <w:sz w:val="24"/>
        </w:rPr>
        <w:t>定期或不定期地开展基金促销活动。在基金促销活动期间，按相关监管部门要求履行必要手续后，基金管理人可以适当调低</w:t>
      </w:r>
      <w:r>
        <w:rPr>
          <w:rFonts w:hint="eastAsia"/>
          <w:bCs/>
          <w:sz w:val="24"/>
        </w:rPr>
        <w:t>基金的</w:t>
      </w:r>
      <w:r>
        <w:rPr>
          <w:bCs/>
          <w:sz w:val="24"/>
        </w:rPr>
        <w:t>申购费率、赎回费率。</w:t>
      </w:r>
    </w:p>
    <w:p>
      <w:pPr>
        <w:spacing w:line="360" w:lineRule="auto"/>
        <w:ind w:firstLine="480" w:firstLineChars="200"/>
        <w:rPr>
          <w:bCs/>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bCs/>
          <w:sz w:val="24"/>
        </w:rPr>
      </w:pPr>
      <w:r>
        <w:rPr>
          <w:rFonts w:hint="eastAsia"/>
          <w:bCs/>
          <w:sz w:val="24"/>
        </w:rPr>
        <w:t>2、发生基金合同规定的暂停基金资产估值情况时，基金管理人可暂停接受投资人的申购申请。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p>
      <w:pPr>
        <w:spacing w:line="360" w:lineRule="auto"/>
        <w:ind w:firstLine="480" w:firstLineChars="200"/>
        <w:rPr>
          <w:bCs/>
          <w:sz w:val="24"/>
        </w:rPr>
      </w:pPr>
      <w:bookmarkStart w:id="123" w:name="_Hlt70481650"/>
      <w:bookmarkEnd w:id="123"/>
      <w:r>
        <w:rPr>
          <w:rFonts w:hint="eastAsia"/>
          <w:bCs/>
          <w:sz w:val="24"/>
        </w:rPr>
        <w:t>4、</w:t>
      </w:r>
      <w:r>
        <w:rPr>
          <w:bCs/>
          <w:sz w:val="24"/>
        </w:rPr>
        <w:t>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pPr>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7、基金管理人接受某笔或者某些申购申请有可能导致单一投资者持有基金份额的比例达到或者超过50%，或者变相规避50%集中度的情形。</w:t>
      </w:r>
    </w:p>
    <w:p>
      <w:pPr>
        <w:spacing w:line="360" w:lineRule="auto"/>
        <w:ind w:firstLine="480" w:firstLineChars="200"/>
        <w:rPr>
          <w:bCs/>
          <w:sz w:val="24"/>
        </w:rPr>
      </w:pPr>
      <w:r>
        <w:rPr>
          <w:rFonts w:hint="eastAsia"/>
          <w:bCs/>
          <w:sz w:val="24"/>
        </w:rPr>
        <w:t>8、申请超过基金管理人设定的基金总规模、单日净申购比例上限、单个投资者单日或单笔申购金额上限的。</w:t>
      </w:r>
    </w:p>
    <w:p>
      <w:pPr>
        <w:spacing w:line="360" w:lineRule="auto"/>
        <w:ind w:firstLine="480" w:firstLineChars="200"/>
        <w:rPr>
          <w:bCs/>
          <w:sz w:val="24"/>
        </w:rPr>
      </w:pPr>
      <w:r>
        <w:rPr>
          <w:rFonts w:hint="eastAsia"/>
          <w:bCs/>
          <w:sz w:val="24"/>
        </w:rPr>
        <w:t>9、</w:t>
      </w:r>
      <w:r>
        <w:rPr>
          <w:bCs/>
          <w:sz w:val="24"/>
        </w:rPr>
        <w:t>法律法规规定</w:t>
      </w:r>
      <w:r>
        <w:rPr>
          <w:rFonts w:hint="eastAsia"/>
          <w:bCs/>
          <w:sz w:val="24"/>
        </w:rPr>
        <w:t>、基金合同约定</w:t>
      </w:r>
      <w:r>
        <w:rPr>
          <w:bCs/>
          <w:sz w:val="24"/>
        </w:rPr>
        <w:t>或中国证监会认定的其他情形。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、6、9</w:t>
      </w:r>
      <w:r>
        <w:rPr>
          <w:bCs/>
          <w:sz w:val="24"/>
        </w:rPr>
        <w:t>项暂停申购情形</w:t>
      </w:r>
      <w:r>
        <w:rPr>
          <w:rFonts w:hint="eastAsia"/>
          <w:bCs/>
          <w:sz w:val="24"/>
        </w:rPr>
        <w:t>之一</w:t>
      </w:r>
      <w:r>
        <w:rPr>
          <w:bCs/>
          <w:sz w:val="24"/>
        </w:rPr>
        <w:t>且基金管理人决定暂停</w:t>
      </w:r>
      <w:r>
        <w:rPr>
          <w:rFonts w:hint="eastAsia"/>
          <w:bCs/>
          <w:sz w:val="24"/>
        </w:rPr>
        <w:t>接受投资人申购申请</w:t>
      </w:r>
      <w:r>
        <w:rPr>
          <w:bCs/>
          <w:sz w:val="24"/>
        </w:rPr>
        <w:t>时，基金管理人应当根据有关规定在规定媒介上刊登暂停申购公告。如果投资人的申购申请被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bCs/>
          <w:sz w:val="24"/>
        </w:rPr>
      </w:pPr>
      <w:r>
        <w:rPr>
          <w:rFonts w:hint="eastAsia"/>
          <w:bCs/>
          <w:sz w:val="24"/>
        </w:rPr>
        <w:t>2、发生基金合同规定的暂停基金资产估值情况时，基金管理人可暂停接受投资人的赎回申请或延缓支付赎回款项。</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24" w:name="_Hlt152500890"/>
      <w:r>
        <w:rPr>
          <w:bCs/>
          <w:sz w:val="24"/>
        </w:rPr>
        <w:t>净值。</w:t>
      </w:r>
    </w:p>
    <w:p>
      <w:pPr>
        <w:spacing w:line="360" w:lineRule="auto"/>
        <w:ind w:firstLine="480" w:firstLineChars="200"/>
        <w:rPr>
          <w:bCs/>
          <w:sz w:val="24"/>
        </w:rPr>
      </w:pPr>
      <w:r>
        <w:rPr>
          <w:rFonts w:hint="eastAsia"/>
          <w:bCs/>
          <w:sz w:val="24"/>
        </w:rPr>
        <w:t>4、</w:t>
      </w:r>
      <w:r>
        <w:rPr>
          <w:bCs/>
          <w:sz w:val="24"/>
        </w:rPr>
        <w:t>连续两个或两个以上开放日发生巨额赎回。</w:t>
      </w:r>
    </w:p>
    <w:p>
      <w:pPr>
        <w:spacing w:line="360" w:lineRule="auto"/>
        <w:ind w:firstLine="480" w:firstLineChars="200"/>
        <w:rPr>
          <w:bCs/>
          <w:sz w:val="24"/>
        </w:rPr>
      </w:pPr>
      <w:r>
        <w:rPr>
          <w:rFonts w:hint="eastAsia"/>
          <w:bCs/>
          <w:sz w:val="24"/>
        </w:rPr>
        <w:t>5、发生继续接受赎回申请将损害现有基金份额持有人利益的情形时</w:t>
      </w:r>
      <w:r>
        <w:rPr>
          <w:bCs/>
          <w:sz w:val="24"/>
        </w:rPr>
        <w:t>，基金管理人可暂停接受基金份额持有人的赎回申请。</w:t>
      </w:r>
    </w:p>
    <w:p>
      <w:pPr>
        <w:spacing w:line="360" w:lineRule="auto"/>
        <w:ind w:firstLine="480" w:firstLineChars="200"/>
        <w:rPr>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4"/>
    <w:p>
      <w:pPr>
        <w:spacing w:line="360" w:lineRule="auto"/>
        <w:ind w:firstLine="480" w:firstLineChars="200"/>
        <w:rPr>
          <w:bCs/>
          <w:sz w:val="24"/>
        </w:rPr>
      </w:pPr>
      <w:r>
        <w:rPr>
          <w:rFonts w:hint="eastAsia"/>
          <w:bCs/>
          <w:sz w:val="24"/>
        </w:rPr>
        <w:t>7、</w:t>
      </w:r>
      <w:r>
        <w:rPr>
          <w:bCs/>
          <w:sz w:val="24"/>
        </w:rPr>
        <w:t>法律法规规定或中国证监会认定的其他情形。</w:t>
      </w:r>
    </w:p>
    <w:p>
      <w:pPr>
        <w:spacing w:line="360" w:lineRule="auto"/>
        <w:ind w:firstLine="480" w:firstLineChars="200"/>
        <w:rPr>
          <w:bCs/>
        </w:rPr>
      </w:pPr>
      <w:r>
        <w:rPr>
          <w:bCs/>
          <w:sz w:val="24"/>
        </w:rPr>
        <w:t>发生上述情形</w:t>
      </w:r>
      <w:r>
        <w:rPr>
          <w:rFonts w:hint="eastAsia"/>
          <w:bCs/>
          <w:sz w:val="24"/>
        </w:rPr>
        <w:t>之一且基金管理人决定暂停赎回</w:t>
      </w:r>
      <w:r>
        <w:rPr>
          <w:bCs/>
          <w:sz w:val="24"/>
        </w:rPr>
        <w:t>或延缓支付赎回款项</w:t>
      </w:r>
      <w:r>
        <w:rPr>
          <w:rFonts w:hint="eastAsia"/>
          <w:bCs/>
          <w:sz w:val="24"/>
        </w:rPr>
        <w:t>时</w:t>
      </w:r>
      <w:r>
        <w:rPr>
          <w:bCs/>
          <w:sz w:val="24"/>
        </w:rPr>
        <w:t>，基金管理人应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w:t>
      </w:r>
      <w:r>
        <w:rPr>
          <w:bCs/>
          <w:sz w:val="24"/>
        </w:rPr>
        <w:t>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pPr>
        <w:spacing w:line="360" w:lineRule="auto"/>
        <w:ind w:firstLine="480" w:firstLineChars="200"/>
        <w:rPr>
          <w:bCs/>
          <w:sz w:val="24"/>
        </w:rPr>
      </w:pPr>
      <w:r>
        <w:rPr>
          <w:rFonts w:hint="eastAsia"/>
          <w:bCs/>
          <w:sz w:val="24"/>
        </w:rPr>
        <w:t>（3）若本基金发生巨额赎回且单个基金份额持有人的赎回申请超过上一开放日基金总份额的10%，基金管理人有权先行对该单个基金份额持有人超出10%的赎回申请实施延期办理，即</w:t>
      </w:r>
      <w:r>
        <w:rPr>
          <w:bCs/>
          <w:sz w:val="24"/>
        </w:rPr>
        <w:t>自动转入下一个开放日继续赎回，直到全部赎回为止</w:t>
      </w:r>
      <w:r>
        <w:rPr>
          <w:rFonts w:hint="eastAsia"/>
          <w:bCs/>
          <w:sz w:val="24"/>
        </w:rPr>
        <w:t>；而对该单个基金份额持有人10%以内（含10%）的赎回申请与其他投资者的赎回申请按前述条款处理，即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pPr>
        <w:spacing w:line="360" w:lineRule="auto"/>
        <w:ind w:firstLine="480" w:firstLineChars="200"/>
        <w:rPr>
          <w:bCs/>
          <w:sz w:val="24"/>
        </w:rPr>
      </w:pPr>
      <w:r>
        <w:rPr>
          <w:bCs/>
          <w:sz w:val="24"/>
        </w:rPr>
        <w:t>（</w:t>
      </w:r>
      <w:r>
        <w:rPr>
          <w:rFonts w:hint="eastAsia"/>
          <w:bCs/>
          <w:sz w:val="24"/>
        </w:rPr>
        <w:t>4</w:t>
      </w:r>
      <w:r>
        <w:rPr>
          <w:bCs/>
          <w:sz w:val="24"/>
        </w:rPr>
        <w:t>）暂停赎回：连续</w:t>
      </w:r>
      <w:r>
        <w:rPr>
          <w:rFonts w:hint="eastAsia"/>
          <w:bCs/>
          <w:sz w:val="24"/>
        </w:rPr>
        <w:t>2个开放</w:t>
      </w:r>
      <w:r>
        <w:rPr>
          <w:bCs/>
          <w:sz w:val="24"/>
        </w:rPr>
        <w:t>日以上(含本数)发生巨额赎回，如基金管理人认为有必要，可暂停接受基金的赎回申请；已经接受的赎回申请可以延缓支付赎回款项，但不得超过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pPr>
        <w:spacing w:line="360" w:lineRule="auto"/>
        <w:ind w:firstLine="480" w:firstLineChars="200"/>
        <w:rPr>
          <w:bCs/>
          <w:sz w:val="24"/>
        </w:rPr>
      </w:pPr>
      <w:r>
        <w:rPr>
          <w:rFonts w:hint="eastAsia"/>
          <w:bCs/>
          <w:sz w:val="24"/>
        </w:rPr>
        <w:t>3、巨额赎回的公告</w:t>
      </w:r>
    </w:p>
    <w:p>
      <w:pPr>
        <w:spacing w:line="360" w:lineRule="auto"/>
        <w:ind w:firstLine="480" w:firstLineChars="200"/>
        <w:rPr>
          <w:sz w:val="24"/>
        </w:rPr>
      </w:pPr>
      <w:r>
        <w:rPr>
          <w:rFonts w:hint="eastAsia"/>
          <w:bCs/>
          <w:sz w:val="24"/>
        </w:rPr>
        <w:t>当发生上述巨额赎回并延期办理时，基金管理人应当通过邮寄、传真或者招募说明书规定的其他方式在3个交易日内通知基金份额持有人，说明有关处理方法，并</w:t>
      </w:r>
      <w:r>
        <w:rPr>
          <w:bCs/>
          <w:sz w:val="24"/>
        </w:rPr>
        <w:t>在</w:t>
      </w:r>
      <w:r>
        <w:rPr>
          <w:rFonts w:hint="eastAsia"/>
          <w:bCs/>
          <w:sz w:val="24"/>
        </w:rPr>
        <w:t>2日</w:t>
      </w:r>
      <w:r>
        <w:rPr>
          <w:bCs/>
          <w:sz w:val="24"/>
        </w:rPr>
        <w:t>内</w:t>
      </w:r>
      <w:r>
        <w:rPr>
          <w:rFonts w:hint="eastAsia"/>
          <w:bCs/>
          <w:sz w:val="24"/>
        </w:rPr>
        <w:t>在规定媒介上公告。</w:t>
      </w:r>
    </w:p>
    <w:p>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pPr>
        <w:spacing w:line="360" w:lineRule="auto"/>
        <w:ind w:firstLine="480" w:firstLineChars="200"/>
        <w:rPr>
          <w:bCs/>
          <w:sz w:val="24"/>
        </w:rPr>
      </w:pPr>
      <w:r>
        <w:rPr>
          <w:bCs/>
          <w:sz w:val="24"/>
        </w:rPr>
        <w:t>2</w:t>
      </w:r>
      <w:r>
        <w:rPr>
          <w:rFonts w:hint="eastAsia"/>
          <w:bCs/>
          <w:sz w:val="24"/>
        </w:rPr>
        <w:t>、上述暂停情况消除的，基金管理人应于重新开放日公布最近1个估值日的基金份额净值。</w:t>
      </w:r>
    </w:p>
    <w:p>
      <w:pPr>
        <w:spacing w:line="360" w:lineRule="auto"/>
        <w:ind w:firstLine="480" w:firstLineChars="200"/>
        <w:rPr>
          <w:bCs/>
          <w:sz w:val="24"/>
        </w:rPr>
      </w:pPr>
      <w:r>
        <w:rPr>
          <w:rFonts w:hint="eastAsia"/>
          <w:bCs/>
          <w:sz w:val="24"/>
        </w:rPr>
        <w:t>3、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十二</w:t>
      </w:r>
      <w:r>
        <w:rPr>
          <w:rFonts w:hint="eastAsia"/>
          <w:bCs/>
          <w:sz w:val="24"/>
        </w:rPr>
        <w:t>、</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Pr>
          <w:rFonts w:hint="eastAsia"/>
          <w:bCs/>
          <w:sz w:val="24"/>
        </w:rPr>
        <w:t>，或按法律法规或有权机关规定的方式处理</w:t>
      </w:r>
      <w:r>
        <w:rPr>
          <w:bCs/>
          <w:sz w:val="24"/>
        </w:rPr>
        <w:t>。</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十三</w:t>
      </w:r>
      <w:r>
        <w:rPr>
          <w:rFonts w:hint="eastAsia"/>
          <w:bCs/>
          <w:sz w:val="24"/>
        </w:rPr>
        <w:t>、</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十四</w:t>
      </w:r>
      <w:r>
        <w:rPr>
          <w:rFonts w:hint="eastAsia"/>
          <w:bCs/>
          <w:sz w:val="24"/>
        </w:rPr>
        <w:t>、</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和</w:t>
      </w:r>
      <w:r>
        <w:rPr>
          <w:bCs/>
          <w:sz w:val="24"/>
        </w:rPr>
        <w:t>质押</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w:t>
      </w:r>
      <w:r>
        <w:rPr>
          <w:bCs/>
          <w:sz w:val="24"/>
        </w:rPr>
        <w:t>基金份额被冻结的，被冻结部分产生的权益一并冻结，被冻结部分份额仍然参与收益分配与支付。</w:t>
      </w:r>
      <w:r>
        <w:rPr>
          <w:rFonts w:hint="eastAsia"/>
          <w:bCs/>
          <w:sz w:val="24"/>
        </w:rPr>
        <w:t>法律法规或监管部门另有规定的除外。</w:t>
      </w:r>
    </w:p>
    <w:p>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pPr>
        <w:spacing w:line="360" w:lineRule="auto"/>
        <w:ind w:firstLine="480" w:firstLineChars="200"/>
        <w:rPr>
          <w:bCs/>
          <w:sz w:val="24"/>
        </w:rPr>
      </w:pPr>
      <w:r>
        <w:rPr>
          <w:rFonts w:hint="eastAsia"/>
          <w:bCs/>
          <w:sz w:val="24"/>
        </w:rPr>
        <w:t>十六、基金份额的交易和转让</w:t>
      </w:r>
    </w:p>
    <w:p>
      <w:pPr>
        <w:spacing w:line="360" w:lineRule="auto"/>
        <w:ind w:firstLine="480" w:firstLineChars="200"/>
        <w:rPr>
          <w:bCs/>
          <w:sz w:val="24"/>
        </w:rPr>
      </w:pPr>
      <w:r>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pPr>
        <w:spacing w:line="360" w:lineRule="auto"/>
        <w:ind w:firstLine="480" w:firstLineChars="20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125" w:name="_Toc31653"/>
      <w:bookmarkStart w:id="126" w:name="_Toc31235"/>
      <w:bookmarkStart w:id="127" w:name="_Toc139991737"/>
      <w:bookmarkStart w:id="128" w:name="_Toc20237406"/>
      <w:bookmarkStart w:id="129" w:name="_Toc3601"/>
      <w:bookmarkStart w:id="130" w:name="_Toc123102454"/>
      <w:bookmarkStart w:id="131" w:name="_Toc15143"/>
      <w:bookmarkStart w:id="132" w:name="_Toc481653678"/>
      <w:bookmarkStart w:id="133" w:name="_Toc123112235"/>
      <w:bookmarkStart w:id="134" w:name="_Toc12245"/>
      <w:bookmarkStart w:id="135" w:name="_Toc123051453"/>
      <w:bookmarkStart w:id="136" w:name="_Toc31644"/>
      <w:bookmarkStart w:id="137" w:name="_Toc26207"/>
      <w:bookmarkStart w:id="138" w:name="_Toc98560353"/>
      <w:bookmarkStart w:id="139" w:name="_Toc141703887"/>
      <w:bookmarkStart w:id="140" w:name="_Toc6405"/>
      <w:bookmarkStart w:id="141" w:name="_Toc14835"/>
      <w:bookmarkStart w:id="142" w:name="_Toc29251"/>
      <w:r>
        <w:rPr>
          <w:rFonts w:ascii="Times New Roman"/>
          <w:color w:val="auto"/>
          <w:sz w:val="30"/>
        </w:rPr>
        <w:t>第</w:t>
      </w:r>
      <w:r>
        <w:rPr>
          <w:rFonts w:hint="eastAsia" w:ascii="Times New Roman"/>
          <w:color w:val="auto"/>
          <w:sz w:val="30"/>
        </w:rPr>
        <w:t>七</w:t>
      </w:r>
      <w:r>
        <w:rPr>
          <w:rFonts w:ascii="Times New Roman"/>
          <w:color w:val="auto"/>
          <w:sz w:val="30"/>
        </w:rPr>
        <w:t>部分</w:t>
      </w:r>
      <w:r>
        <w:rPr>
          <w:rFonts w:hint="eastAsia" w:ascii="Times New Roman"/>
          <w:color w:val="auto"/>
          <w:sz w:val="30"/>
        </w:rPr>
        <w:t xml:space="preserve"> </w:t>
      </w:r>
      <w:r>
        <w:rPr>
          <w:rFonts w:ascii="Times New Roman"/>
          <w:color w:val="auto"/>
          <w:sz w:val="30"/>
        </w:rPr>
        <w:t>基金合同当事人及权利义务</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3" w:name="_Hlt55355235"/>
      <w:bookmarkEnd w:id="143"/>
      <w:bookmarkStart w:id="144" w:name="_Toc523711668"/>
      <w:bookmarkStart w:id="145" w:name="_Toc15118234"/>
      <w:bookmarkStart w:id="146" w:name="_Toc57530239"/>
      <w:bookmarkStart w:id="147" w:name="_Toc79392580"/>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4"/>
      <w:r>
        <w:rPr>
          <w:bCs/>
          <w:sz w:val="24"/>
        </w:rPr>
        <w:t>管理人</w:t>
      </w:r>
      <w:bookmarkEnd w:id="145"/>
      <w:bookmarkEnd w:id="146"/>
      <w:bookmarkEnd w:id="147"/>
    </w:p>
    <w:p>
      <w:pPr>
        <w:spacing w:line="360" w:lineRule="auto"/>
        <w:ind w:firstLine="480" w:firstLineChars="200"/>
        <w:rPr>
          <w:bCs/>
          <w:sz w:val="24"/>
        </w:rPr>
      </w:pPr>
      <w:bookmarkStart w:id="148" w:name="_Toc15118235"/>
      <w:r>
        <w:rPr>
          <w:bCs/>
          <w:sz w:val="24"/>
        </w:rPr>
        <w:t>（一）</w:t>
      </w:r>
      <w:r>
        <w:rPr>
          <w:bCs/>
          <w:sz w:val="24"/>
        </w:rPr>
        <w:tab/>
      </w:r>
      <w:r>
        <w:rPr>
          <w:bCs/>
          <w:sz w:val="24"/>
        </w:rPr>
        <w:t>基金管理人简况</w:t>
      </w:r>
      <w:bookmarkEnd w:id="148"/>
    </w:p>
    <w:p>
      <w:pPr>
        <w:spacing w:line="360" w:lineRule="auto"/>
        <w:ind w:firstLine="480" w:firstLineChars="200"/>
        <w:rPr>
          <w:bCs/>
          <w:sz w:val="24"/>
        </w:rPr>
      </w:pPr>
      <w:bookmarkStart w:id="149" w:name="_Toc15118236"/>
      <w:bookmarkStart w:id="150" w:name="_Toc15118237"/>
      <w:r>
        <w:rPr>
          <w:bCs/>
          <w:sz w:val="24"/>
        </w:rPr>
        <w:t>名称：</w:t>
      </w:r>
      <w:bookmarkEnd w:id="149"/>
      <w:r>
        <w:rPr>
          <w:rFonts w:hint="eastAsia"/>
          <w:bCs/>
          <w:sz w:val="24"/>
        </w:rPr>
        <w:t>华安基金管理有限公司</w:t>
      </w:r>
    </w:p>
    <w:p>
      <w:pPr>
        <w:spacing w:line="360" w:lineRule="auto"/>
        <w:ind w:firstLine="480" w:firstLineChars="200"/>
        <w:rPr>
          <w:bCs/>
          <w:sz w:val="24"/>
        </w:rPr>
      </w:pPr>
      <w:r>
        <w:rPr>
          <w:bCs/>
          <w:sz w:val="24"/>
        </w:rPr>
        <w:t>住所：</w:t>
      </w:r>
      <w:r>
        <w:rPr>
          <w:rFonts w:hint="eastAsia"/>
          <w:bCs/>
          <w:sz w:val="24"/>
        </w:rPr>
        <w:t>中国（上海）自由贸易试验区世纪大道</w:t>
      </w:r>
      <w:r>
        <w:rPr>
          <w:bCs/>
          <w:sz w:val="24"/>
        </w:rPr>
        <w:t>8</w:t>
      </w:r>
      <w:r>
        <w:rPr>
          <w:rFonts w:hint="eastAsia"/>
          <w:bCs/>
          <w:sz w:val="24"/>
        </w:rPr>
        <w:t>号国金中心二期</w:t>
      </w:r>
      <w:r>
        <w:rPr>
          <w:bCs/>
          <w:sz w:val="24"/>
        </w:rPr>
        <w:t>31-32</w:t>
      </w:r>
      <w:r>
        <w:rPr>
          <w:rFonts w:hint="eastAsia"/>
          <w:bCs/>
          <w:sz w:val="24"/>
        </w:rPr>
        <w:t>层</w:t>
      </w:r>
    </w:p>
    <w:p>
      <w:pPr>
        <w:spacing w:line="360" w:lineRule="auto"/>
        <w:ind w:firstLine="480" w:firstLineChars="200"/>
        <w:rPr>
          <w:bCs/>
          <w:sz w:val="24"/>
        </w:rPr>
      </w:pPr>
      <w:r>
        <w:rPr>
          <w:bCs/>
          <w:sz w:val="24"/>
        </w:rPr>
        <w:t>法定代表人：</w:t>
      </w:r>
      <w:r>
        <w:rPr>
          <w:rFonts w:hint="eastAsia"/>
          <w:bCs/>
          <w:sz w:val="24"/>
        </w:rPr>
        <w:t>朱学华</w:t>
      </w:r>
    </w:p>
    <w:p>
      <w:pPr>
        <w:spacing w:line="360" w:lineRule="auto"/>
        <w:ind w:firstLine="480" w:firstLineChars="200"/>
        <w:rPr>
          <w:bCs/>
          <w:sz w:val="24"/>
        </w:rPr>
      </w:pPr>
      <w:r>
        <w:rPr>
          <w:bCs/>
          <w:sz w:val="24"/>
        </w:rPr>
        <w:t xml:space="preserve">设立日期：1998 </w:t>
      </w:r>
      <w:r>
        <w:rPr>
          <w:rFonts w:hint="eastAsia"/>
          <w:bCs/>
          <w:sz w:val="24"/>
        </w:rPr>
        <w:t>年</w:t>
      </w:r>
      <w:r>
        <w:rPr>
          <w:bCs/>
          <w:sz w:val="24"/>
        </w:rPr>
        <w:t xml:space="preserve">6 </w:t>
      </w:r>
      <w:r>
        <w:rPr>
          <w:rFonts w:hint="eastAsia"/>
          <w:bCs/>
          <w:sz w:val="24"/>
        </w:rPr>
        <w:t>月</w:t>
      </w:r>
      <w:r>
        <w:rPr>
          <w:bCs/>
          <w:sz w:val="24"/>
        </w:rPr>
        <w:t xml:space="preserve">4 </w:t>
      </w:r>
      <w:r>
        <w:rPr>
          <w:rFonts w:hint="eastAsia"/>
          <w:bCs/>
          <w:sz w:val="24"/>
        </w:rPr>
        <w:t>日</w:t>
      </w:r>
    </w:p>
    <w:p>
      <w:pPr>
        <w:spacing w:line="360" w:lineRule="auto"/>
        <w:ind w:firstLine="480" w:firstLineChars="200"/>
        <w:rPr>
          <w:bCs/>
          <w:sz w:val="24"/>
        </w:rPr>
      </w:pPr>
      <w:r>
        <w:rPr>
          <w:bCs/>
          <w:sz w:val="24"/>
        </w:rPr>
        <w:t>批准设立机关及批准设立文号：</w:t>
      </w:r>
      <w:r>
        <w:rPr>
          <w:rFonts w:hint="eastAsia"/>
          <w:bCs/>
          <w:sz w:val="24"/>
        </w:rPr>
        <w:t>中国证监会证监基字</w:t>
      </w:r>
      <w:r>
        <w:rPr>
          <w:bCs/>
          <w:sz w:val="24"/>
        </w:rPr>
        <w:t>[1998]20</w:t>
      </w:r>
      <w:r>
        <w:rPr>
          <w:rFonts w:hint="eastAsia"/>
          <w:bCs/>
          <w:sz w:val="24"/>
        </w:rPr>
        <w:t>号</w:t>
      </w:r>
    </w:p>
    <w:p>
      <w:pPr>
        <w:spacing w:line="360" w:lineRule="auto"/>
        <w:ind w:firstLine="480" w:firstLineChars="200"/>
        <w:rPr>
          <w:bCs/>
          <w:sz w:val="24"/>
        </w:rPr>
      </w:pPr>
      <w:r>
        <w:rPr>
          <w:bCs/>
          <w:sz w:val="24"/>
        </w:rPr>
        <w:t>组织形式：</w:t>
      </w:r>
      <w:r>
        <w:rPr>
          <w:rFonts w:hint="eastAsia"/>
          <w:bCs/>
          <w:sz w:val="24"/>
        </w:rPr>
        <w:t>有限责任公司</w:t>
      </w:r>
    </w:p>
    <w:p>
      <w:pPr>
        <w:spacing w:line="360" w:lineRule="auto"/>
        <w:ind w:firstLine="480" w:firstLineChars="200"/>
        <w:rPr>
          <w:bCs/>
          <w:sz w:val="24"/>
        </w:rPr>
      </w:pPr>
      <w:r>
        <w:rPr>
          <w:bCs/>
          <w:sz w:val="24"/>
        </w:rPr>
        <w:t xml:space="preserve">注册资本：1.5 </w:t>
      </w:r>
      <w:r>
        <w:rPr>
          <w:rFonts w:hint="eastAsia"/>
          <w:bCs/>
          <w:sz w:val="24"/>
        </w:rPr>
        <w:t>亿元</w:t>
      </w:r>
    </w:p>
    <w:p>
      <w:pPr>
        <w:spacing w:line="360" w:lineRule="auto"/>
        <w:ind w:firstLine="480" w:firstLineChars="200"/>
        <w:rPr>
          <w:bCs/>
          <w:sz w:val="24"/>
        </w:rPr>
      </w:pPr>
      <w:r>
        <w:rPr>
          <w:bCs/>
          <w:sz w:val="24"/>
        </w:rPr>
        <w:t>存续期限：</w:t>
      </w:r>
      <w:r>
        <w:rPr>
          <w:rFonts w:hint="eastAsia"/>
          <w:bCs/>
          <w:sz w:val="24"/>
        </w:rPr>
        <w:t>持续经营</w:t>
      </w:r>
    </w:p>
    <w:p>
      <w:pPr>
        <w:spacing w:line="360" w:lineRule="auto"/>
        <w:ind w:firstLine="480" w:firstLineChars="200"/>
        <w:rPr>
          <w:bCs/>
          <w:sz w:val="24"/>
        </w:rPr>
      </w:pPr>
      <w:r>
        <w:rPr>
          <w:bCs/>
          <w:sz w:val="24"/>
        </w:rPr>
        <w:t>联系电话：</w:t>
      </w:r>
      <w:r>
        <w:rPr>
          <w:rFonts w:hAnsi="宋体"/>
          <w:bCs/>
          <w:sz w:val="24"/>
          <w:szCs w:val="24"/>
        </w:rPr>
        <w:t>（</w:t>
      </w:r>
      <w:r>
        <w:rPr>
          <w:bCs/>
          <w:sz w:val="24"/>
          <w:szCs w:val="24"/>
        </w:rPr>
        <w:t>021</w:t>
      </w:r>
      <w:r>
        <w:rPr>
          <w:rFonts w:hAnsi="宋体"/>
          <w:bCs/>
          <w:sz w:val="24"/>
          <w:szCs w:val="24"/>
        </w:rPr>
        <w:t>）</w:t>
      </w:r>
      <w:r>
        <w:rPr>
          <w:bCs/>
          <w:sz w:val="24"/>
          <w:szCs w:val="24"/>
        </w:rPr>
        <w:t>38969999</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50"/>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w:t>
      </w:r>
      <w:r>
        <w:rPr>
          <w:rFonts w:hint="eastAsia"/>
          <w:sz w:val="24"/>
        </w:rPr>
        <w:t>基金合同</w:t>
      </w:r>
      <w:r>
        <w:rPr>
          <w:bCs/>
          <w:sz w:val="24"/>
        </w:rPr>
        <w:t>》生效之日起，根据法律法规和《基金合同》独立运用并管理基金财产；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1" w:name="_Hlt88896155"/>
      <w:r>
        <w:rPr>
          <w:rFonts w:hint="eastAsia"/>
          <w:bCs/>
          <w:sz w:val="24"/>
        </w:rPr>
        <w:t>按照规定</w:t>
      </w:r>
      <w:r>
        <w:rPr>
          <w:bCs/>
          <w:sz w:val="24"/>
        </w:rPr>
        <w:t>召集</w:t>
      </w:r>
      <w:bookmarkEnd w:id="151"/>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（16）在符合有关法律、法规的前提下，制订和调整有关基金认购、申购、赎回、转换</w:t>
      </w:r>
      <w:r>
        <w:rPr>
          <w:rFonts w:hint="eastAsia"/>
          <w:bCs/>
          <w:sz w:val="24"/>
        </w:rPr>
        <w:t>和</w:t>
      </w:r>
      <w:r>
        <w:rPr>
          <w:bCs/>
          <w:sz w:val="24"/>
        </w:rPr>
        <w:t>非交易过户</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2" w:name="_Toc523711669"/>
      <w:r>
        <w:rPr>
          <w:bCs/>
          <w:sz w:val="24"/>
        </w:rPr>
        <w:t>（1）依法募集</w:t>
      </w:r>
      <w:r>
        <w:rPr>
          <w:rFonts w:hint="eastAsia"/>
          <w:bCs/>
          <w:sz w:val="24"/>
        </w:rPr>
        <w:t>资金</w:t>
      </w:r>
      <w:r>
        <w:rPr>
          <w:bCs/>
          <w:sz w:val="24"/>
        </w:rPr>
        <w:t>，办理或者委托经中国证监会认定的其他机构代为办理基金份额的发售、申购、赎回和登记事宜；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3" w:name="_Hlt88897298"/>
      <w:bookmarkEnd w:id="153"/>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sz w:val="24"/>
        </w:rPr>
        <w:t>，但向监管机构、司法机构或因审计、法律等外部专业顾问提供服务而向其提供的情况除外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4" w:name="_Hlt88823209"/>
      <w:bookmarkEnd w:id="154"/>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5" w:name="_Toc15118238"/>
      <w:bookmarkStart w:id="156" w:name="_Toc57530240"/>
      <w:bookmarkStart w:id="157" w:name="_Toc79392581"/>
      <w:r>
        <w:rPr>
          <w:bCs/>
          <w:sz w:val="24"/>
        </w:rPr>
        <w:t>二、基金托管人</w:t>
      </w:r>
      <w:bookmarkEnd w:id="152"/>
      <w:bookmarkEnd w:id="155"/>
      <w:bookmarkEnd w:id="156"/>
      <w:bookmarkEnd w:id="157"/>
    </w:p>
    <w:p>
      <w:pPr>
        <w:spacing w:line="360" w:lineRule="auto"/>
        <w:ind w:firstLine="480" w:firstLineChars="200"/>
        <w:rPr>
          <w:bCs/>
          <w:sz w:val="24"/>
        </w:rPr>
      </w:pPr>
      <w:bookmarkStart w:id="158" w:name="_Toc15118239"/>
      <w:r>
        <w:rPr>
          <w:bCs/>
          <w:sz w:val="24"/>
        </w:rPr>
        <w:t>（一）</w:t>
      </w:r>
      <w:r>
        <w:rPr>
          <w:bCs/>
          <w:sz w:val="24"/>
        </w:rPr>
        <w:tab/>
      </w:r>
      <w:r>
        <w:rPr>
          <w:bCs/>
          <w:sz w:val="24"/>
        </w:rPr>
        <w:t>基金托管人简况</w:t>
      </w:r>
      <w:bookmarkEnd w:id="158"/>
    </w:p>
    <w:p>
      <w:pPr>
        <w:spacing w:line="360" w:lineRule="auto"/>
        <w:ind w:firstLine="480" w:firstLineChars="200"/>
        <w:rPr>
          <w:bCs/>
          <w:sz w:val="24"/>
        </w:rPr>
      </w:pPr>
      <w:bookmarkStart w:id="159" w:name="_Toc382819070"/>
      <w:r>
        <w:rPr>
          <w:bCs/>
          <w:sz w:val="24"/>
        </w:rPr>
        <w:t>名称：</w:t>
      </w:r>
      <w:r>
        <w:rPr>
          <w:rFonts w:hint="eastAsia"/>
          <w:bCs/>
          <w:sz w:val="24"/>
        </w:rPr>
        <w:t>中国邮政储蓄银行股份有限公司</w:t>
      </w:r>
    </w:p>
    <w:p>
      <w:pPr>
        <w:spacing w:line="360" w:lineRule="auto"/>
        <w:ind w:firstLine="480" w:firstLineChars="200"/>
        <w:rPr>
          <w:bCs/>
          <w:sz w:val="24"/>
        </w:rPr>
      </w:pPr>
      <w:r>
        <w:rPr>
          <w:bCs/>
          <w:sz w:val="24"/>
        </w:rPr>
        <w:t>住所：</w:t>
      </w:r>
      <w:r>
        <w:rPr>
          <w:rFonts w:hint="eastAsia"/>
          <w:bCs/>
          <w:sz w:val="24"/>
        </w:rPr>
        <w:t>北京市西城区金融大街3号</w:t>
      </w:r>
    </w:p>
    <w:p>
      <w:pPr>
        <w:spacing w:line="360" w:lineRule="auto"/>
        <w:ind w:firstLine="480" w:firstLineChars="200"/>
        <w:rPr>
          <w:bCs/>
          <w:sz w:val="24"/>
        </w:rPr>
      </w:pPr>
      <w:r>
        <w:rPr>
          <w:bCs/>
          <w:sz w:val="24"/>
        </w:rPr>
        <w:t>法定代表人：</w:t>
      </w:r>
      <w:r>
        <w:fldChar w:fldCharType="begin"/>
      </w:r>
      <w:r>
        <w:instrText xml:space="preserve"> HYPERLINK "https://www.qichacha.com/pl_pr1256c3082fbf26920a8069046ff2c0.html" </w:instrText>
      </w:r>
      <w:r>
        <w:fldChar w:fldCharType="separate"/>
      </w:r>
      <w:r>
        <w:rPr>
          <w:rFonts w:hint="eastAsia"/>
          <w:bCs/>
        </w:rPr>
        <w:t>张金良</w:t>
      </w:r>
      <w:r>
        <w:rPr>
          <w:rFonts w:hint="eastAsia"/>
          <w:bCs/>
        </w:rPr>
        <w:fldChar w:fldCharType="end"/>
      </w:r>
    </w:p>
    <w:p>
      <w:pPr>
        <w:spacing w:line="360" w:lineRule="auto"/>
        <w:ind w:firstLine="480" w:firstLineChars="200"/>
        <w:rPr>
          <w:bCs/>
          <w:sz w:val="24"/>
        </w:rPr>
      </w:pPr>
      <w:r>
        <w:rPr>
          <w:bCs/>
          <w:sz w:val="24"/>
        </w:rPr>
        <w:t>成立时间：</w:t>
      </w:r>
      <w:r>
        <w:rPr>
          <w:rFonts w:hint="eastAsia"/>
          <w:bCs/>
          <w:sz w:val="24"/>
        </w:rPr>
        <w:t>2007年3月6日</w:t>
      </w:r>
    </w:p>
    <w:p>
      <w:pPr>
        <w:spacing w:line="360" w:lineRule="auto"/>
        <w:ind w:firstLine="480" w:firstLineChars="200"/>
        <w:rPr>
          <w:bCs/>
          <w:sz w:val="24"/>
        </w:rPr>
      </w:pPr>
      <w:r>
        <w:rPr>
          <w:bCs/>
          <w:sz w:val="24"/>
        </w:rPr>
        <w:t>批准设立机关和批准设立文号：</w:t>
      </w:r>
      <w:r>
        <w:rPr>
          <w:rFonts w:hint="eastAsia"/>
          <w:bCs/>
          <w:sz w:val="24"/>
        </w:rPr>
        <w:t>中国银监会银监复【</w:t>
      </w:r>
      <w:r>
        <w:rPr>
          <w:bCs/>
          <w:sz w:val="24"/>
        </w:rPr>
        <w:t>2006</w:t>
      </w:r>
      <w:r>
        <w:rPr>
          <w:rFonts w:hint="eastAsia"/>
          <w:bCs/>
          <w:sz w:val="24"/>
        </w:rPr>
        <w:t>】</w:t>
      </w:r>
      <w:r>
        <w:rPr>
          <w:bCs/>
          <w:sz w:val="24"/>
        </w:rPr>
        <w:t>484</w:t>
      </w:r>
      <w:r>
        <w:rPr>
          <w:rFonts w:hint="eastAsia"/>
          <w:bCs/>
          <w:sz w:val="24"/>
        </w:rPr>
        <w:t>号</w:t>
      </w:r>
    </w:p>
    <w:p>
      <w:pPr>
        <w:spacing w:line="360" w:lineRule="auto"/>
        <w:ind w:firstLine="480" w:firstLineChars="200"/>
        <w:rPr>
          <w:bCs/>
          <w:sz w:val="24"/>
        </w:rPr>
      </w:pPr>
      <w:r>
        <w:rPr>
          <w:bCs/>
          <w:sz w:val="24"/>
        </w:rPr>
        <w:t>组织形式</w:t>
      </w:r>
      <w:r>
        <w:rPr>
          <w:rFonts w:hint="eastAsia"/>
          <w:bCs/>
          <w:sz w:val="24"/>
        </w:rPr>
        <w:t>：股份有限公司</w:t>
      </w:r>
    </w:p>
    <w:p>
      <w:pPr>
        <w:spacing w:line="360" w:lineRule="auto"/>
        <w:ind w:firstLine="480" w:firstLineChars="200"/>
        <w:rPr>
          <w:bCs/>
          <w:sz w:val="24"/>
        </w:rPr>
      </w:pPr>
      <w:r>
        <w:rPr>
          <w:bCs/>
          <w:sz w:val="24"/>
        </w:rPr>
        <w:t>注册资本：</w:t>
      </w:r>
      <w:r>
        <w:rPr>
          <w:rFonts w:hint="eastAsia"/>
          <w:bCs/>
          <w:sz w:val="24"/>
        </w:rPr>
        <w:t>810.31亿元人民币</w:t>
      </w:r>
    </w:p>
    <w:p>
      <w:pPr>
        <w:spacing w:line="360" w:lineRule="auto"/>
        <w:ind w:firstLine="480" w:firstLineChars="200"/>
        <w:rPr>
          <w:bCs/>
          <w:sz w:val="24"/>
        </w:rPr>
      </w:pPr>
      <w:r>
        <w:rPr>
          <w:bCs/>
          <w:sz w:val="24"/>
        </w:rPr>
        <w:t>存续期间：</w:t>
      </w:r>
      <w:r>
        <w:rPr>
          <w:rFonts w:hint="eastAsia"/>
          <w:bCs/>
          <w:sz w:val="24"/>
        </w:rPr>
        <w:t>持续经营</w:t>
      </w:r>
    </w:p>
    <w:p>
      <w:pPr>
        <w:spacing w:line="360" w:lineRule="auto"/>
        <w:ind w:firstLine="480" w:firstLineChars="200"/>
        <w:rPr>
          <w:bCs/>
          <w:sz w:val="24"/>
        </w:rPr>
      </w:pPr>
      <w:r>
        <w:rPr>
          <w:bCs/>
          <w:sz w:val="24"/>
        </w:rPr>
        <w:t>基金托管资格批文及文号：</w:t>
      </w:r>
      <w:r>
        <w:rPr>
          <w:rFonts w:hint="eastAsia"/>
          <w:bCs/>
          <w:sz w:val="24"/>
        </w:rPr>
        <w:t>证监许可【2009】673号</w:t>
      </w:r>
    </w:p>
    <w:bookmarkEnd w:id="159"/>
    <w:p>
      <w:pPr>
        <w:spacing w:line="360" w:lineRule="auto"/>
        <w:ind w:firstLine="480" w:firstLineChars="200"/>
        <w:rPr>
          <w:bCs/>
          <w:sz w:val="24"/>
        </w:rPr>
      </w:pPr>
      <w:bookmarkStart w:id="160" w:name="_Toc15118240"/>
      <w:r>
        <w:rPr>
          <w:bCs/>
          <w:sz w:val="24"/>
        </w:rPr>
        <w:t>（二）</w:t>
      </w:r>
      <w:r>
        <w:rPr>
          <w:bCs/>
          <w:sz w:val="24"/>
        </w:rPr>
        <w:tab/>
      </w:r>
      <w:r>
        <w:rPr>
          <w:bCs/>
          <w:sz w:val="24"/>
        </w:rPr>
        <w:t>基金托管人的权利与义务</w:t>
      </w:r>
      <w:bookmarkEnd w:id="16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sz w:val="24"/>
        </w:rPr>
        <w:t>，但向监管机构、司法机关或因审计、法律等外部专业顾问提供服务而向其提供的情况除外</w:t>
      </w:r>
      <w:r>
        <w:rPr>
          <w:bCs/>
          <w:sz w:val="24"/>
        </w:rPr>
        <w:t>；</w:t>
      </w:r>
    </w:p>
    <w:p>
      <w:pPr>
        <w:spacing w:line="360" w:lineRule="auto"/>
        <w:ind w:firstLine="480" w:firstLineChars="200"/>
        <w:rPr>
          <w:bCs/>
          <w:sz w:val="24"/>
        </w:rPr>
      </w:pPr>
      <w:r>
        <w:rPr>
          <w:bCs/>
          <w:sz w:val="24"/>
        </w:rPr>
        <w:t>（8）复核、审查基金管理人计算的基金资产净值、各类</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sz w:val="24"/>
        </w:rPr>
        <w:t>15</w:t>
      </w:r>
      <w:r>
        <w:rPr>
          <w:bCs/>
          <w:sz w:val="24"/>
        </w:rPr>
        <w:t>年以上；</w:t>
      </w:r>
    </w:p>
    <w:p>
      <w:pPr>
        <w:spacing w:line="360" w:lineRule="auto"/>
        <w:ind w:firstLine="480" w:firstLineChars="200"/>
        <w:rPr>
          <w:bCs/>
          <w:sz w:val="24"/>
        </w:rPr>
      </w:pPr>
      <w:r>
        <w:rPr>
          <w:bCs/>
          <w:sz w:val="24"/>
        </w:rPr>
        <w:t>（12）</w:t>
      </w:r>
      <w:r>
        <w:rPr>
          <w:rFonts w:hint="eastAsia"/>
          <w:bCs/>
          <w:sz w:val="24"/>
        </w:rPr>
        <w:t>从基金管理人或其委托的登记机构处接收</w:t>
      </w:r>
      <w:r>
        <w:rPr>
          <w:bCs/>
          <w:sz w:val="24"/>
        </w:rPr>
        <w:t>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（18）面临解散、依法被撤销或者被依法宣告破产时，及时报告中国证监会和银行业监管机构，并通知基金管理人；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62" w:name="_Toc523711670"/>
      <w:r>
        <w:rPr>
          <w:bCs/>
          <w:sz w:val="24"/>
        </w:rPr>
        <w:t>法律法规及中国证监会规定的和《基金合同》约定的其他义务。</w:t>
      </w:r>
    </w:p>
    <w:bookmarkEnd w:id="162"/>
    <w:p>
      <w:pPr>
        <w:spacing w:line="360" w:lineRule="auto"/>
        <w:ind w:firstLine="480" w:firstLineChars="200"/>
        <w:rPr>
          <w:bCs/>
          <w:sz w:val="24"/>
        </w:rPr>
      </w:pPr>
      <w:bookmarkStart w:id="163" w:name="_Toc79392582"/>
      <w:r>
        <w:rPr>
          <w:bCs/>
          <w:sz w:val="24"/>
        </w:rPr>
        <w:t>三、基金份额持有人</w:t>
      </w:r>
      <w:bookmarkEnd w:id="16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同一类别每份基金份额具有同等的合法权益。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5" w:name="_Hlt88825574"/>
      <w:bookmarkEnd w:id="165"/>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w:t>
      </w:r>
      <w:r>
        <w:rPr>
          <w:bCs/>
          <w:sz w:val="24"/>
        </w:rPr>
        <w:t>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6" w:name="_Toc20237407"/>
      <w:bookmarkStart w:id="167" w:name="_Toc6447"/>
      <w:bookmarkStart w:id="168" w:name="_Toc79392583"/>
      <w:bookmarkStart w:id="169" w:name="_Toc7058"/>
      <w:bookmarkStart w:id="170" w:name="_Toc4559"/>
      <w:bookmarkStart w:id="171" w:name="_Toc98560354"/>
      <w:bookmarkStart w:id="172" w:name="_Toc11030"/>
      <w:bookmarkStart w:id="173" w:name="_Toc18567"/>
      <w:bookmarkStart w:id="174" w:name="_Toc10650"/>
      <w:bookmarkStart w:id="175" w:name="_Toc9706"/>
      <w:bookmarkStart w:id="176" w:name="_Toc25783"/>
      <w:bookmarkStart w:id="177" w:name="_Toc3771"/>
      <w:bookmarkStart w:id="178" w:name="_Toc123112236"/>
      <w:bookmarkStart w:id="179" w:name="_Toc141703888"/>
      <w:bookmarkStart w:id="180" w:name="_Toc123102455"/>
      <w:bookmarkStart w:id="181" w:name="_Toc481653679"/>
      <w:bookmarkStart w:id="182" w:name="_Toc123051454"/>
      <w:bookmarkStart w:id="183" w:name="_Toc3321"/>
      <w:bookmarkStart w:id="184" w:name="_Toc139991738"/>
      <w:r>
        <w:rPr>
          <w:rFonts w:ascii="Times New Roman"/>
          <w:color w:val="auto"/>
          <w:sz w:val="30"/>
        </w:rPr>
        <w:t>第</w:t>
      </w:r>
      <w:r>
        <w:rPr>
          <w:rFonts w:hint="eastAsia" w:ascii="Times New Roman"/>
          <w:color w:val="auto"/>
          <w:sz w:val="30"/>
        </w:rPr>
        <w:t>八</w:t>
      </w:r>
      <w:r>
        <w:rPr>
          <w:rFonts w:ascii="Times New Roman"/>
          <w:color w:val="auto"/>
          <w:sz w:val="30"/>
        </w:rPr>
        <w:t>部分</w:t>
      </w:r>
      <w:r>
        <w:rPr>
          <w:rFonts w:hint="eastAsia"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本基金基金份额持有人大会不设立日常机构。</w:t>
      </w:r>
    </w:p>
    <w:p>
      <w:pPr>
        <w:spacing w:line="360" w:lineRule="auto"/>
        <w:ind w:firstLine="480" w:firstLineChars="200"/>
        <w:rPr>
          <w:bCs/>
          <w:sz w:val="24"/>
        </w:rPr>
      </w:pPr>
      <w:bookmarkStart w:id="185" w:name="_Toc57530243"/>
      <w:bookmarkStart w:id="186" w:name="_Toc15641220"/>
      <w:bookmarkStart w:id="187" w:name="_Toc79392584"/>
      <w:r>
        <w:rPr>
          <w:bCs/>
          <w:sz w:val="24"/>
        </w:rPr>
        <w:t>一、召开事由</w:t>
      </w:r>
      <w:bookmarkEnd w:id="185"/>
      <w:bookmarkEnd w:id="186"/>
      <w:bookmarkEnd w:id="187"/>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调整基金管理人、基金托管人的报酬标准</w:t>
      </w:r>
      <w:r>
        <w:rPr>
          <w:bCs/>
          <w:sz w:val="24"/>
        </w:rPr>
        <w:t>和提高销售服务费；</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（1）调低</w:t>
      </w:r>
      <w:r>
        <w:rPr>
          <w:rFonts w:hint="eastAsia"/>
          <w:bCs/>
          <w:sz w:val="24"/>
        </w:rPr>
        <w:t>应由基金承担的费用</w:t>
      </w:r>
      <w:r>
        <w:rPr>
          <w:bCs/>
          <w:sz w:val="24"/>
        </w:rPr>
        <w:t>；</w:t>
      </w:r>
    </w:p>
    <w:p>
      <w:pPr>
        <w:spacing w:line="360" w:lineRule="auto"/>
        <w:ind w:firstLine="480" w:firstLineChars="200"/>
        <w:rPr>
          <w:bCs/>
          <w:sz w:val="24"/>
        </w:rPr>
      </w:pPr>
      <w:r>
        <w:rPr>
          <w:bCs/>
          <w:sz w:val="24"/>
        </w:rPr>
        <w:t>（2）法律法规要求增加的基金费用的收取；</w:t>
      </w:r>
    </w:p>
    <w:p>
      <w:pPr>
        <w:spacing w:line="360" w:lineRule="auto"/>
        <w:ind w:firstLine="480" w:firstLineChars="200"/>
        <w:rPr>
          <w:bCs/>
          <w:sz w:val="24"/>
        </w:rPr>
      </w:pPr>
      <w:r>
        <w:rPr>
          <w:rFonts w:hint="eastAsia"/>
          <w:bCs/>
          <w:sz w:val="24"/>
        </w:rPr>
        <w:t>（3）</w:t>
      </w:r>
      <w:r>
        <w:rPr>
          <w:bCs/>
          <w:sz w:val="24"/>
        </w:rPr>
        <w:t>调整本基金的申购费率、调低赎回费率</w:t>
      </w:r>
      <w:r>
        <w:rPr>
          <w:rFonts w:hint="eastAsia"/>
          <w:bCs/>
          <w:sz w:val="24"/>
        </w:rPr>
        <w:t>、调低</w:t>
      </w:r>
      <w:r>
        <w:rPr>
          <w:bCs/>
          <w:sz w:val="24"/>
        </w:rPr>
        <w:t>销售服务费率</w:t>
      </w:r>
      <w:r>
        <w:rPr>
          <w:rFonts w:hint="eastAsia"/>
          <w:bCs/>
          <w:sz w:val="24"/>
        </w:rPr>
        <w:t>或变更收费方式</w:t>
      </w:r>
      <w:r>
        <w:rPr>
          <w:bCs/>
          <w:sz w:val="24"/>
        </w:rPr>
        <w:t>；</w:t>
      </w:r>
    </w:p>
    <w:p>
      <w:pPr>
        <w:spacing w:line="360" w:lineRule="auto"/>
        <w:ind w:firstLine="480" w:firstLineChars="200"/>
        <w:rPr>
          <w:bCs/>
          <w:sz w:val="24"/>
        </w:rPr>
      </w:pPr>
      <w:r>
        <w:rPr>
          <w:bCs/>
          <w:sz w:val="24"/>
        </w:rPr>
        <w:t>（4）因相应的法律法规发生变动而应当对《基金合同》进行修改；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w:t>
      </w:r>
      <w:r>
        <w:rPr>
          <w:rFonts w:hint="eastAsia"/>
          <w:bCs/>
          <w:sz w:val="24"/>
        </w:rPr>
        <w:t>6</w:t>
      </w:r>
      <w:r>
        <w:rPr>
          <w:bCs/>
          <w:sz w:val="24"/>
        </w:rPr>
        <w:t>）</w:t>
      </w:r>
      <w:r>
        <w:rPr>
          <w:rFonts w:hint="eastAsia"/>
          <w:bCs/>
          <w:sz w:val="24"/>
        </w:rPr>
        <w:t>增加、减少或调整基金份额分类办法</w:t>
      </w:r>
      <w:r>
        <w:rPr>
          <w:bCs/>
          <w:sz w:val="24"/>
        </w:rPr>
        <w:t>及规则</w:t>
      </w:r>
      <w:r>
        <w:rPr>
          <w:rFonts w:hint="eastAsia"/>
          <w:bCs/>
          <w:sz w:val="24"/>
        </w:rPr>
        <w:t>；</w:t>
      </w:r>
    </w:p>
    <w:p>
      <w:pPr>
        <w:spacing w:line="360" w:lineRule="auto"/>
        <w:ind w:firstLine="480" w:firstLineChars="200"/>
        <w:rPr>
          <w:bCs/>
          <w:sz w:val="24"/>
        </w:rPr>
      </w:pPr>
      <w:r>
        <w:rPr>
          <w:bCs/>
          <w:sz w:val="24"/>
        </w:rPr>
        <w:t>（</w:t>
      </w:r>
      <w:r>
        <w:rPr>
          <w:rFonts w:hint="eastAsia"/>
          <w:bCs/>
          <w:sz w:val="24"/>
        </w:rPr>
        <w:t>7</w:t>
      </w:r>
      <w:r>
        <w:rPr>
          <w:bCs/>
          <w:sz w:val="24"/>
        </w:rPr>
        <w:t>）</w:t>
      </w:r>
      <w:r>
        <w:rPr>
          <w:rFonts w:hint="eastAsia"/>
          <w:bCs/>
          <w:sz w:val="24"/>
        </w:rPr>
        <w:t>基金管理人、登记机构、基金销售机构调整有关基金认购、申购、赎回、转托管、基金交易、非交易过户等业务规则；</w:t>
      </w:r>
    </w:p>
    <w:p>
      <w:pPr>
        <w:spacing w:line="360" w:lineRule="auto"/>
        <w:ind w:firstLine="480" w:firstLineChars="200"/>
        <w:rPr>
          <w:bCs/>
          <w:sz w:val="24"/>
        </w:rPr>
      </w:pPr>
      <w:r>
        <w:rPr>
          <w:bCs/>
          <w:sz w:val="24"/>
        </w:rPr>
        <w:t>（</w:t>
      </w:r>
      <w:r>
        <w:rPr>
          <w:rFonts w:hint="eastAsia"/>
          <w:bCs/>
          <w:sz w:val="24"/>
        </w:rPr>
        <w:t>8</w:t>
      </w:r>
      <w:r>
        <w:rPr>
          <w:bCs/>
          <w:sz w:val="24"/>
        </w:rPr>
        <w:t>）</w:t>
      </w:r>
      <w:r>
        <w:rPr>
          <w:rFonts w:hint="eastAsia"/>
          <w:bCs/>
          <w:sz w:val="24"/>
        </w:rPr>
        <w:t>本基金推出新业务或新服务；</w:t>
      </w:r>
    </w:p>
    <w:p>
      <w:pPr>
        <w:spacing w:line="360" w:lineRule="auto"/>
        <w:ind w:firstLine="480" w:firstLineChars="200"/>
        <w:rPr>
          <w:bCs/>
          <w:sz w:val="24"/>
        </w:rPr>
      </w:pPr>
      <w:r>
        <w:rPr>
          <w:rFonts w:hint="eastAsia"/>
          <w:bCs/>
          <w:sz w:val="24"/>
        </w:rPr>
        <w:t>（9）在不违反法律法规的情况下，调整基金的申购赎回方式；</w:t>
      </w:r>
    </w:p>
    <w:p>
      <w:pPr>
        <w:spacing w:line="360" w:lineRule="auto"/>
        <w:ind w:firstLine="480" w:firstLineChars="200"/>
        <w:rPr>
          <w:bCs/>
          <w:sz w:val="24"/>
        </w:rPr>
      </w:pPr>
      <w:r>
        <w:rPr>
          <w:rFonts w:hint="eastAsia"/>
          <w:bCs/>
          <w:sz w:val="24"/>
        </w:rPr>
        <w:t>（10）</w:t>
      </w:r>
      <w:r>
        <w:rPr>
          <w:bCs/>
          <w:sz w:val="24"/>
        </w:rPr>
        <w:t>按照法律法规和《基金合同》规定不需召开基金份额持有人大会的其他情形。</w:t>
      </w:r>
    </w:p>
    <w:p>
      <w:pPr>
        <w:spacing w:line="360" w:lineRule="auto"/>
        <w:ind w:firstLine="480" w:firstLineChars="200"/>
        <w:rPr>
          <w:bCs/>
          <w:sz w:val="24"/>
        </w:rPr>
      </w:pPr>
      <w:bookmarkStart w:id="188" w:name="_Toc79392585"/>
      <w:bookmarkStart w:id="189" w:name="_Toc15641221"/>
      <w:bookmarkStart w:id="190" w:name="_Toc57530244"/>
      <w:r>
        <w:rPr>
          <w:bCs/>
          <w:sz w:val="24"/>
        </w:rPr>
        <w:t>二、会议召集人及召集方式</w:t>
      </w:r>
      <w:bookmarkEnd w:id="188"/>
      <w:bookmarkEnd w:id="189"/>
      <w:bookmarkEnd w:id="190"/>
    </w:p>
    <w:p>
      <w:pPr>
        <w:spacing w:line="360" w:lineRule="auto"/>
        <w:ind w:firstLine="480" w:firstLineChars="200"/>
        <w:rPr>
          <w:bCs/>
          <w:sz w:val="24"/>
        </w:rPr>
      </w:pPr>
      <w:bookmarkStart w:id="191" w:name="_Toc15641222"/>
      <w:bookmarkStart w:id="192" w:name="_Toc57530245"/>
      <w:r>
        <w:rPr>
          <w:bCs/>
          <w:sz w:val="24"/>
        </w:rPr>
        <w:t>1、除法律法规规定或《基金合同》另有约定外，基金份额持有人大会由基金管理人召集</w:t>
      </w:r>
      <w:r>
        <w:rPr>
          <w:rFonts w:hint="eastAsia"/>
          <w:bCs/>
          <w:sz w:val="24"/>
        </w:rPr>
        <w:t>。</w:t>
      </w:r>
    </w:p>
    <w:p>
      <w:pPr>
        <w:spacing w:line="360" w:lineRule="auto"/>
        <w:ind w:firstLine="480" w:firstLineChars="200"/>
        <w:rPr>
          <w:bCs/>
          <w:sz w:val="24"/>
        </w:rPr>
      </w:pPr>
      <w:r>
        <w:rPr>
          <w:bCs/>
          <w:sz w:val="24"/>
        </w:rPr>
        <w:t>2、基金管理人未按规定召集或不能</w:t>
      </w:r>
      <w:r>
        <w:rPr>
          <w:rFonts w:hint="eastAsia"/>
          <w:bCs/>
          <w:sz w:val="24"/>
        </w:rPr>
        <w:t>召开</w:t>
      </w:r>
      <w:r>
        <w:rPr>
          <w:bCs/>
          <w:sz w:val="24"/>
        </w:rPr>
        <w:t>时，由基金托管人召集</w:t>
      </w:r>
      <w:r>
        <w:rPr>
          <w:rFonts w:hint="eastAsia"/>
          <w:bCs/>
          <w:sz w:val="24"/>
        </w:rPr>
        <w:t>。</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3" w:name="_Toc79392586"/>
      <w:r>
        <w:rPr>
          <w:bCs/>
          <w:sz w:val="24"/>
        </w:rPr>
        <w:t>三、召开基金份额持有人大会的通知时间、通知内容、通知方式</w:t>
      </w:r>
      <w:bookmarkEnd w:id="191"/>
      <w:bookmarkEnd w:id="192"/>
      <w:bookmarkEnd w:id="193"/>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pPr>
        <w:spacing w:line="360" w:lineRule="auto"/>
        <w:ind w:firstLine="480" w:firstLineChars="200"/>
        <w:rPr>
          <w:bCs/>
          <w:sz w:val="24"/>
        </w:rPr>
      </w:pPr>
      <w:r>
        <w:rPr>
          <w:bCs/>
          <w:sz w:val="24"/>
        </w:rPr>
        <w:t>基金份额持有人大会可通过现场开会</w:t>
      </w:r>
      <w:r>
        <w:rPr>
          <w:rFonts w:hint="eastAsia"/>
          <w:bCs/>
          <w:sz w:val="24"/>
        </w:rPr>
        <w:t>方式、</w:t>
      </w:r>
      <w:r>
        <w:rPr>
          <w:bCs/>
          <w:sz w:val="24"/>
        </w:rPr>
        <w:t>通讯开会</w:t>
      </w:r>
      <w:r>
        <w:rPr>
          <w:rFonts w:hint="eastAsia"/>
          <w:bCs/>
          <w:sz w:val="24"/>
        </w:rPr>
        <w:t>方式或法律法规、监管机构允许的其他</w:t>
      </w:r>
      <w:r>
        <w:rPr>
          <w:bCs/>
          <w:sz w:val="24"/>
        </w:rPr>
        <w:t>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pPr>
        <w:spacing w:line="360" w:lineRule="auto"/>
        <w:ind w:firstLine="480" w:firstLineChars="200"/>
        <w:rPr>
          <w:sz w:val="24"/>
        </w:rPr>
      </w:pPr>
      <w:r>
        <w:rPr>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rPr>
          <w:rFonts w:hint="eastAsia"/>
          <w:sz w:val="24"/>
        </w:rPr>
        <w:t>。</w:t>
      </w:r>
    </w:p>
    <w:p>
      <w:pPr>
        <w:spacing w:line="360" w:lineRule="auto"/>
        <w:ind w:firstLine="480" w:firstLineChars="20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sz w:val="24"/>
        </w:rPr>
        <w:t>4</w:t>
      </w:r>
      <w:r>
        <w:rPr>
          <w:rFonts w:hint="eastAsia"/>
          <w:sz w:val="24"/>
        </w:rPr>
        <w:t>、在不与法律法规冲突的前提下，基金份额持有人授权他人代为出席会议并表决的，授权方式可以采用书面、网络、电话、短信或其他方式，具体方式在会议通知中列明。</w:t>
      </w:r>
    </w:p>
    <w:p>
      <w:pPr>
        <w:spacing w:line="360" w:lineRule="auto"/>
        <w:ind w:firstLine="480" w:firstLineChars="200"/>
        <w:rPr>
          <w:bCs/>
          <w:sz w:val="24"/>
        </w:rPr>
      </w:pPr>
      <w:bookmarkStart w:id="197" w:name="_Toc79392588"/>
      <w:bookmarkStart w:id="198" w:name="_Toc15641224"/>
      <w:bookmarkStart w:id="199" w:name="_Toc57530247"/>
      <w:r>
        <w:rPr>
          <w:bCs/>
          <w:sz w:val="24"/>
        </w:rPr>
        <w:t>五、议事内容与程序</w:t>
      </w:r>
      <w:bookmarkEnd w:id="197"/>
      <w:bookmarkEnd w:id="198"/>
      <w:bookmarkEnd w:id="199"/>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200" w:name="_Toc57530248"/>
      <w:bookmarkStart w:id="201" w:name="_Toc79392589"/>
      <w:bookmarkStart w:id="202" w:name="_Toc15641225"/>
      <w:r>
        <w:rPr>
          <w:bCs/>
          <w:sz w:val="24"/>
        </w:rPr>
        <w:t>六、表决</w:t>
      </w:r>
      <w:bookmarkEnd w:id="200"/>
      <w:bookmarkEnd w:id="201"/>
      <w:bookmarkEnd w:id="202"/>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3" w:name="_Toc15641226"/>
      <w:bookmarkStart w:id="204" w:name="_Toc57530249"/>
      <w:bookmarkStart w:id="205" w:name="_Toc79392590"/>
      <w:r>
        <w:rPr>
          <w:bCs/>
          <w:sz w:val="24"/>
        </w:rPr>
        <w:t>七、计票</w:t>
      </w:r>
      <w:bookmarkEnd w:id="203"/>
      <w:bookmarkEnd w:id="204"/>
      <w:bookmarkEnd w:id="205"/>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15641227"/>
      <w:bookmarkStart w:id="207" w:name="_Toc79392591"/>
      <w:bookmarkStart w:id="208" w:name="_Toc57530250"/>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6"/>
      <w:bookmarkEnd w:id="207"/>
      <w:bookmarkEnd w:id="208"/>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bCs/>
          <w:sz w:val="24"/>
        </w:rPr>
        <w:t>基金份额持有人大会决议自生效之日</w:t>
      </w:r>
      <w:r>
        <w:rPr>
          <w:rFonts w:hint="eastAsia"/>
          <w:sz w:val="24"/>
        </w:rPr>
        <w:t>后</w:t>
      </w:r>
      <w:r>
        <w:rPr>
          <w:rFonts w:hint="eastAsia"/>
          <w:bCs/>
          <w:sz w:val="24"/>
        </w:rPr>
        <w:t>依照《信息披露办法》的有关规定</w:t>
      </w:r>
      <w:r>
        <w:rPr>
          <w:bCs/>
          <w:sz w:val="24"/>
        </w:rPr>
        <w:t>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pPr>
        <w:pStyle w:val="2"/>
        <w:jc w:val="center"/>
        <w:rPr>
          <w:rFonts w:ascii="Times New Roman"/>
          <w:color w:val="auto"/>
        </w:rPr>
      </w:pPr>
      <w:bookmarkStart w:id="210" w:name="_Toc1745"/>
      <w:bookmarkStart w:id="211" w:name="_Toc3963"/>
      <w:r>
        <w:rPr>
          <w:rFonts w:ascii="Times New Roman"/>
          <w:b w:val="0"/>
          <w:bCs/>
          <w:color w:val="auto"/>
        </w:rPr>
        <w:br w:type="page"/>
      </w:r>
      <w:bookmarkStart w:id="212" w:name="_Toc123102456"/>
      <w:bookmarkStart w:id="213" w:name="_Toc139991739"/>
      <w:bookmarkStart w:id="214" w:name="_Toc481653680"/>
      <w:bookmarkStart w:id="215" w:name="_Toc20237408"/>
      <w:bookmarkStart w:id="216" w:name="_Toc21735"/>
      <w:bookmarkStart w:id="217" w:name="_Toc10398"/>
      <w:bookmarkStart w:id="218" w:name="_Toc31821"/>
      <w:bookmarkStart w:id="219" w:name="_Toc123051455"/>
      <w:bookmarkStart w:id="220" w:name="_Toc123112237"/>
      <w:bookmarkStart w:id="221" w:name="_Toc3080"/>
      <w:bookmarkStart w:id="222" w:name="_Toc98560355"/>
      <w:bookmarkStart w:id="223" w:name="_Toc16164"/>
      <w:bookmarkStart w:id="224" w:name="_Toc141703889"/>
      <w:bookmarkStart w:id="225" w:name="_Toc725"/>
      <w:bookmarkStart w:id="226" w:name="_Toc18206"/>
      <w:bookmarkStart w:id="227" w:name="_Toc3572"/>
      <w:r>
        <w:rPr>
          <w:rFonts w:ascii="Times New Roman"/>
          <w:color w:val="auto"/>
          <w:sz w:val="30"/>
        </w:rPr>
        <w:t>第</w:t>
      </w:r>
      <w:r>
        <w:rPr>
          <w:rFonts w:hint="eastAsia" w:ascii="Times New Roman"/>
          <w:color w:val="auto"/>
          <w:sz w:val="30"/>
        </w:rPr>
        <w:t>九</w:t>
      </w:r>
      <w:r>
        <w:rPr>
          <w:rFonts w:ascii="Times New Roman"/>
          <w:color w:val="auto"/>
          <w:sz w:val="30"/>
        </w:rPr>
        <w:t>部分</w:t>
      </w:r>
      <w:r>
        <w:rPr>
          <w:rFonts w:hint="eastAsia"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autoSpaceDE w:val="0"/>
        <w:autoSpaceDN w:val="0"/>
        <w:spacing w:line="360" w:lineRule="auto"/>
        <w:textAlignment w:val="bottom"/>
        <w:rPr>
          <w:bCs/>
          <w:sz w:val="24"/>
        </w:rPr>
      </w:pPr>
      <w:bookmarkStart w:id="228" w:name="_Toc15118245"/>
      <w:bookmarkStart w:id="229" w:name="_Toc57530252"/>
      <w:bookmarkStart w:id="230" w:name="_Toc79392593"/>
    </w:p>
    <w:p>
      <w:pPr>
        <w:spacing w:line="360" w:lineRule="auto"/>
        <w:ind w:firstLine="480" w:firstLineChars="200"/>
        <w:rPr>
          <w:bCs/>
          <w:sz w:val="24"/>
        </w:rPr>
      </w:pPr>
      <w:r>
        <w:rPr>
          <w:bCs/>
          <w:sz w:val="24"/>
        </w:rPr>
        <w:t>一、基金管理人和基金托管人职责终止的情形</w:t>
      </w:r>
      <w:bookmarkEnd w:id="228"/>
      <w:bookmarkEnd w:id="229"/>
      <w:bookmarkEnd w:id="230"/>
    </w:p>
    <w:p>
      <w:pPr>
        <w:spacing w:line="360" w:lineRule="auto"/>
        <w:ind w:firstLine="480" w:firstLineChars="200"/>
        <w:rPr>
          <w:bCs/>
          <w:sz w:val="24"/>
        </w:rPr>
      </w:pPr>
      <w:bookmarkStart w:id="231" w:name="_Toc22005971"/>
      <w:r>
        <w:rPr>
          <w:bCs/>
          <w:sz w:val="24"/>
        </w:rPr>
        <w:t>（一）</w:t>
      </w:r>
      <w:r>
        <w:rPr>
          <w:bCs/>
          <w:sz w:val="24"/>
        </w:rPr>
        <w:tab/>
      </w:r>
      <w:r>
        <w:rPr>
          <w:bCs/>
          <w:sz w:val="24"/>
        </w:rPr>
        <w:t>基金管理人职责终止的情形</w:t>
      </w:r>
      <w:bookmarkEnd w:id="231"/>
    </w:p>
    <w:p>
      <w:pPr>
        <w:spacing w:line="360" w:lineRule="auto"/>
        <w:ind w:firstLine="480" w:firstLineChars="200"/>
        <w:rPr>
          <w:bCs/>
          <w:sz w:val="24"/>
        </w:rPr>
      </w:pPr>
      <w:r>
        <w:rPr>
          <w:bCs/>
          <w:sz w:val="24"/>
        </w:rPr>
        <w:t>有下列情形之一的，基金管理人职责终止：</w:t>
      </w:r>
    </w:p>
    <w:p>
      <w:pPr>
        <w:tabs>
          <w:tab w:val="left" w:pos="5274"/>
        </w:tabs>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2" w:name="_Toc22005972"/>
      <w:r>
        <w:rPr>
          <w:bCs/>
          <w:sz w:val="24"/>
        </w:rPr>
        <w:t>（二）</w:t>
      </w:r>
      <w:r>
        <w:rPr>
          <w:bCs/>
          <w:sz w:val="24"/>
        </w:rPr>
        <w:tab/>
      </w:r>
      <w:r>
        <w:rPr>
          <w:bCs/>
          <w:sz w:val="24"/>
        </w:rPr>
        <w:t>基金托管人职责终止的情形</w:t>
      </w:r>
      <w:bookmarkEnd w:id="232"/>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3" w:name="_Toc79392594"/>
      <w:bookmarkStart w:id="234" w:name="_Toc57530253"/>
      <w:bookmarkStart w:id="235" w:name="_Toc15118246"/>
      <w:r>
        <w:rPr>
          <w:bCs/>
          <w:sz w:val="24"/>
        </w:rPr>
        <w:t>二、基金管理人和基金托管人的更换程序</w:t>
      </w:r>
      <w:bookmarkEnd w:id="233"/>
      <w:bookmarkEnd w:id="234"/>
      <w:bookmarkEnd w:id="235"/>
    </w:p>
    <w:p>
      <w:pPr>
        <w:spacing w:line="360" w:lineRule="auto"/>
        <w:ind w:firstLine="480" w:firstLineChars="200"/>
        <w:rPr>
          <w:bCs/>
          <w:sz w:val="24"/>
        </w:rPr>
      </w:pPr>
      <w:bookmarkStart w:id="236" w:name="_Toc22005974"/>
      <w:r>
        <w:rPr>
          <w:bCs/>
          <w:sz w:val="24"/>
        </w:rPr>
        <w:t>（一）</w:t>
      </w:r>
      <w:r>
        <w:rPr>
          <w:bCs/>
          <w:sz w:val="24"/>
        </w:rPr>
        <w:tab/>
      </w:r>
      <w:r>
        <w:rPr>
          <w:bCs/>
          <w:sz w:val="24"/>
        </w:rPr>
        <w:t>基金管理人的更换程序</w:t>
      </w:r>
      <w:bookmarkEnd w:id="236"/>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5、公告：基金管理人更换后，由基金托管人在更换基金管理人的基金份额持有人大会决议生效后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sz w:val="24"/>
        </w:rPr>
        <w:t>临时基金管理人或</w:t>
      </w:r>
      <w:r>
        <w:rPr>
          <w:sz w:val="24"/>
        </w:rPr>
        <w:t>新任基金管理人应与基金托管人核对基金资产总值</w:t>
      </w:r>
      <w:r>
        <w:rPr>
          <w:rFonts w:hint="eastAsia"/>
          <w:sz w:val="24"/>
        </w:rPr>
        <w:t>和</w:t>
      </w:r>
      <w:r>
        <w:rPr>
          <w:sz w:val="24"/>
        </w:rPr>
        <w:t>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7" w:name="_Toc22005975"/>
      <w:r>
        <w:rPr>
          <w:bCs/>
          <w:sz w:val="24"/>
        </w:rPr>
        <w:t>（二）</w:t>
      </w:r>
      <w:r>
        <w:rPr>
          <w:bCs/>
          <w:sz w:val="24"/>
        </w:rPr>
        <w:tab/>
      </w:r>
      <w:r>
        <w:rPr>
          <w:bCs/>
          <w:sz w:val="24"/>
        </w:rPr>
        <w:t>基金托管人的更换程序</w:t>
      </w:r>
      <w:bookmarkEnd w:id="237"/>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5、公告：基金托管人更换后，由基金管理人在更换基金托管人的基金份额持有人大会决议生效后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w:t>
      </w:r>
      <w:r>
        <w:rPr>
          <w:rFonts w:hint="eastAsia"/>
          <w:sz w:val="24"/>
        </w:rPr>
        <w:t>临时基金托管人或</w:t>
      </w:r>
      <w:r>
        <w:rPr>
          <w:bCs/>
          <w:sz w:val="24"/>
        </w:rPr>
        <w:t>新任基金托管人与基金管理人核对基金资产总值</w:t>
      </w:r>
      <w:r>
        <w:rPr>
          <w:rFonts w:hint="eastAsia"/>
          <w:bCs/>
          <w:sz w:val="24"/>
        </w:rPr>
        <w:t>和</w:t>
      </w:r>
      <w:r>
        <w:rPr>
          <w:bCs/>
          <w:sz w:val="24"/>
        </w:rPr>
        <w:t xml:space="preserve">净值；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pPr>
        <w:spacing w:line="360" w:lineRule="auto"/>
        <w:ind w:firstLine="480" w:firstLineChars="200"/>
        <w:rPr>
          <w:bCs/>
          <w:sz w:val="24"/>
        </w:rPr>
      </w:pPr>
      <w:bookmarkStart w:id="238" w:name="_Toc1357"/>
      <w:r>
        <w:rPr>
          <w:bCs/>
          <w:sz w:val="24"/>
        </w:rPr>
        <w:t>（三）基金管理人与基金托管人同时更换的条件和程序</w:t>
      </w:r>
      <w:bookmarkEnd w:id="238"/>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pPr>
        <w:spacing w:line="360" w:lineRule="auto"/>
        <w:ind w:firstLine="480" w:firstLineChars="200"/>
        <w:rPr>
          <w:sz w:val="24"/>
        </w:rPr>
      </w:pPr>
      <w:r>
        <w:rPr>
          <w:rFonts w:hint="eastAsia"/>
          <w:sz w:val="24"/>
        </w:rPr>
        <w:t>三、新任或临时基金管理人接受基金管理业务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pPr>
        <w:spacing w:line="360" w:lineRule="auto"/>
        <w:ind w:firstLine="480" w:firstLineChars="200"/>
        <w:rPr>
          <w:bCs/>
          <w:sz w:val="24"/>
        </w:rPr>
      </w:pPr>
      <w:r>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2"/>
        </w:rPr>
        <w:br w:type="page"/>
      </w:r>
      <w:bookmarkStart w:id="239" w:name="_Toc123102457"/>
      <w:bookmarkStart w:id="240" w:name="_Toc739"/>
      <w:bookmarkStart w:id="241" w:name="_Toc3329"/>
      <w:bookmarkStart w:id="242" w:name="_Toc17198"/>
      <w:bookmarkStart w:id="243" w:name="_Toc139991740"/>
      <w:bookmarkStart w:id="244" w:name="_Toc17920"/>
      <w:bookmarkStart w:id="245" w:name="_Toc29408"/>
      <w:bookmarkStart w:id="246" w:name="_Toc141703890"/>
      <w:bookmarkStart w:id="247" w:name="_Toc79392622"/>
      <w:bookmarkStart w:id="248" w:name="_Toc481653681"/>
      <w:bookmarkStart w:id="249" w:name="_Toc32584"/>
      <w:bookmarkStart w:id="250" w:name="_Toc20237409"/>
      <w:bookmarkStart w:id="251" w:name="_Toc5170"/>
      <w:bookmarkStart w:id="252" w:name="_Toc32092"/>
      <w:bookmarkStart w:id="253" w:name="_Toc21237"/>
      <w:bookmarkStart w:id="254" w:name="_Toc123051456"/>
      <w:bookmarkStart w:id="255" w:name="_Toc98560356"/>
      <w:bookmarkStart w:id="256" w:name="_Toc8791"/>
      <w:bookmarkStart w:id="257" w:name="_Toc48649708"/>
      <w:bookmarkStart w:id="258" w:name="_Toc123112238"/>
      <w:r>
        <w:rPr>
          <w:rFonts w:ascii="Times New Roman"/>
          <w:color w:val="auto"/>
          <w:sz w:val="30"/>
        </w:rPr>
        <w:t>第十部分</w:t>
      </w:r>
      <w:r>
        <w:rPr>
          <w:rFonts w:hint="eastAsia"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9" w:name="_Toc22674"/>
      <w:bookmarkStart w:id="260" w:name="_Toc26084"/>
      <w:bookmarkStart w:id="261" w:name="_Toc2255"/>
      <w:bookmarkStart w:id="262" w:name="_Toc98560357"/>
      <w:bookmarkStart w:id="263" w:name="_Toc16789"/>
      <w:bookmarkStart w:id="264" w:name="_Toc123102458"/>
      <w:bookmarkStart w:id="265" w:name="_Toc139991741"/>
      <w:bookmarkStart w:id="266" w:name="_Toc20237410"/>
      <w:bookmarkStart w:id="267" w:name="_Toc123051457"/>
      <w:bookmarkStart w:id="268" w:name="_Toc123112239"/>
      <w:bookmarkStart w:id="269" w:name="_Toc19520"/>
      <w:bookmarkStart w:id="270" w:name="_Toc26152"/>
      <w:bookmarkStart w:id="271" w:name="_Toc21886"/>
      <w:bookmarkStart w:id="272" w:name="_Toc14725"/>
      <w:bookmarkStart w:id="273" w:name="_Toc79392624"/>
      <w:bookmarkStart w:id="274" w:name="_Toc481653682"/>
      <w:bookmarkStart w:id="275" w:name="_Toc3244"/>
      <w:bookmarkStart w:id="276" w:name="_Toc48649710"/>
      <w:bookmarkStart w:id="277" w:name="_Toc141703891"/>
      <w:bookmarkStart w:id="278" w:name="_Toc26383"/>
      <w:r>
        <w:rPr>
          <w:rFonts w:ascii="Times New Roman"/>
          <w:color w:val="auto"/>
          <w:sz w:val="30"/>
        </w:rPr>
        <w:t>第十</w:t>
      </w:r>
      <w:r>
        <w:rPr>
          <w:rFonts w:hint="eastAsia" w:ascii="Times New Roman"/>
          <w:color w:val="auto"/>
          <w:sz w:val="30"/>
        </w:rPr>
        <w:t>一</w:t>
      </w:r>
      <w:r>
        <w:rPr>
          <w:rFonts w:ascii="Times New Roman"/>
          <w:color w:val="auto"/>
          <w:sz w:val="30"/>
        </w:rPr>
        <w:t>部分</w:t>
      </w:r>
      <w:r>
        <w:rPr>
          <w:rFonts w:hint="eastAsia"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w:t>
      </w:r>
      <w:r>
        <w:rPr>
          <w:rFonts w:hint="eastAsia"/>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79" w:name="_Hlt88820748"/>
      <w:bookmarkEnd w:id="279"/>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w:t>
      </w:r>
      <w:r>
        <w:rPr>
          <w:sz w:val="24"/>
        </w:rPr>
        <w:t>对登记业务的</w:t>
      </w:r>
      <w:r>
        <w:rPr>
          <w:rFonts w:hint="eastAsia"/>
          <w:sz w:val="24"/>
        </w:rPr>
        <w:t>规则</w:t>
      </w:r>
      <w:r>
        <w:rPr>
          <w:sz w:val="24"/>
        </w:rPr>
        <w:t>进行调整</w:t>
      </w:r>
      <w:r>
        <w:rPr>
          <w:bCs/>
          <w:sz w:val="24"/>
        </w:rPr>
        <w:t>，并依照有关规定于开始实施前在规定媒介上公告；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80" w:name="_Toc21917"/>
      <w:bookmarkStart w:id="281" w:name="_Toc16437"/>
      <w:bookmarkStart w:id="282" w:name="_Toc578"/>
      <w:bookmarkStart w:id="283" w:name="_Toc3872"/>
      <w:bookmarkStart w:id="284" w:name="_Toc11395"/>
      <w:bookmarkStart w:id="285" w:name="_Toc801"/>
      <w:bookmarkStart w:id="286" w:name="_Toc481653683"/>
      <w:bookmarkStart w:id="287" w:name="_Toc20237411"/>
      <w:bookmarkStart w:id="288" w:name="_Toc2981"/>
      <w:bookmarkStart w:id="289" w:name="_Toc11351"/>
      <w:bookmarkStart w:id="290" w:name="_Toc22538"/>
      <w:bookmarkStart w:id="291" w:name="_Toc5477"/>
      <w:r>
        <w:rPr>
          <w:rFonts w:ascii="Times New Roman"/>
          <w:color w:val="auto"/>
          <w:sz w:val="30"/>
        </w:rPr>
        <w:t>第十</w:t>
      </w:r>
      <w:r>
        <w:rPr>
          <w:rFonts w:hint="eastAsia" w:ascii="Times New Roman"/>
          <w:color w:val="auto"/>
          <w:sz w:val="30"/>
        </w:rPr>
        <w:t>二</w:t>
      </w:r>
      <w:r>
        <w:rPr>
          <w:rFonts w:ascii="Times New Roman"/>
          <w:color w:val="auto"/>
          <w:sz w:val="30"/>
        </w:rPr>
        <w:t>部分</w:t>
      </w:r>
      <w:r>
        <w:rPr>
          <w:rFonts w:hint="eastAsia" w:ascii="Times New Roman"/>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bCs/>
          <w:sz w:val="24"/>
        </w:rPr>
      </w:pPr>
      <w:r>
        <w:rPr>
          <w:rFonts w:hint="eastAsia"/>
          <w:bCs/>
          <w:sz w:val="24"/>
        </w:rPr>
        <w:t>本基金在一定程度上控制组合净值波动率的前提下，力争长期内实现超越业绩比较基准的投资回报。</w:t>
      </w:r>
    </w:p>
    <w:p>
      <w:pPr>
        <w:spacing w:line="360" w:lineRule="auto"/>
        <w:ind w:firstLine="480" w:firstLineChars="200"/>
        <w:rPr>
          <w:bCs/>
          <w:sz w:val="24"/>
        </w:rPr>
      </w:pPr>
      <w:r>
        <w:rPr>
          <w:bCs/>
          <w:sz w:val="24"/>
        </w:rPr>
        <w:t>二、投资范围</w:t>
      </w:r>
    </w:p>
    <w:p>
      <w:pPr>
        <w:spacing w:line="360" w:lineRule="auto"/>
        <w:ind w:firstLine="480" w:firstLineChars="200"/>
        <w:rPr>
          <w:bCs/>
          <w:sz w:val="24"/>
        </w:rPr>
      </w:pPr>
      <w:r>
        <w:rPr>
          <w:bCs/>
          <w:sz w:val="24"/>
        </w:rPr>
        <w:t>本基金的投资范围为具有良好流动性的金融工具，包括国内依法发行上市的股票（包括中小板、创业板及其他经中国证监会核准</w:t>
      </w:r>
      <w:r>
        <w:rPr>
          <w:rFonts w:hint="eastAsia"/>
          <w:bCs/>
          <w:sz w:val="24"/>
        </w:rPr>
        <w:t>或</w:t>
      </w:r>
      <w:r>
        <w:rPr>
          <w:bCs/>
          <w:sz w:val="24"/>
        </w:rPr>
        <w:t>注册上市的股票</w:t>
      </w:r>
      <w:r>
        <w:rPr>
          <w:rFonts w:hint="eastAsia"/>
          <w:bCs/>
          <w:sz w:val="24"/>
        </w:rPr>
        <w:t>、存托凭证</w:t>
      </w:r>
      <w:r>
        <w:rPr>
          <w:bCs/>
          <w:sz w:val="24"/>
        </w:rPr>
        <w:t>）</w:t>
      </w:r>
      <w:r>
        <w:rPr>
          <w:rFonts w:hint="eastAsia"/>
          <w:bCs/>
          <w:sz w:val="24"/>
        </w:rPr>
        <w:t>、债券（包括国债、地方政府债、央行票据、金融债、企业债、公司债、次级债、可转换债券（含分离交易可转债）、短期融资券、超短期融资券、中期票据等）、资产支持证券、债券回购、银行存款、同业存单、货币市场工具、</w:t>
      </w:r>
      <w:r>
        <w:rPr>
          <w:bCs/>
          <w:sz w:val="24"/>
        </w:rPr>
        <w:t>股指期货以及法律法规或中国证监会允许基金投资的其他金融工具(但须符合中国证监会相关规定)。</w:t>
      </w:r>
    </w:p>
    <w:p>
      <w:pPr>
        <w:spacing w:line="360" w:lineRule="auto"/>
        <w:ind w:firstLine="480" w:firstLineChars="200"/>
        <w:rPr>
          <w:bCs/>
          <w:sz w:val="24"/>
        </w:rPr>
      </w:pPr>
      <w:r>
        <w:rPr>
          <w:rFonts w:hint="eastAsia"/>
          <w:bCs/>
          <w:sz w:val="24"/>
        </w:rPr>
        <w:t>本基金将根据法律法规的规定参与融资业务。</w:t>
      </w:r>
    </w:p>
    <w:p>
      <w:pPr>
        <w:spacing w:line="360" w:lineRule="auto"/>
        <w:ind w:firstLine="480" w:firstLineChars="200"/>
        <w:rPr>
          <w:sz w:val="24"/>
        </w:rPr>
      </w:pPr>
      <w:r>
        <w:rPr>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bCs/>
          <w:sz w:val="24"/>
        </w:rPr>
        <w:t>基金的投资组合比例为：</w:t>
      </w:r>
      <w:r>
        <w:rPr>
          <w:rFonts w:hint="eastAsia"/>
          <w:bCs/>
          <w:sz w:val="24"/>
        </w:rPr>
        <w:t>股票资产</w:t>
      </w:r>
      <w:r>
        <w:rPr>
          <w:rFonts w:hint="eastAsia"/>
          <w:bCs/>
          <w:sz w:val="24"/>
          <w:lang w:eastAsia="zh-CN"/>
        </w:rPr>
        <w:t>（</w:t>
      </w:r>
      <w:r>
        <w:rPr>
          <w:rFonts w:hint="eastAsia"/>
          <w:bCs/>
          <w:sz w:val="24"/>
          <w:lang w:val="en-US" w:eastAsia="zh-CN"/>
        </w:rPr>
        <w:t>含存托凭证，下同）</w:t>
      </w:r>
      <w:r>
        <w:rPr>
          <w:rFonts w:hint="eastAsia"/>
          <w:bCs/>
          <w:sz w:val="24"/>
        </w:rPr>
        <w:t>占基金资产的比例不高于30%；债券资产、资产支持证券、债券回购、银行存款、同业存单、货币市场工具等固定收益类资产占基金资产的比例不低于50%；同业存单投资占基金资产的比例不超过20%；每个交易日日终在扣除股指期货合约需缴纳的交易保证金后，应当保持现金或者到期日在一年以内的政府债券不低于基金资产净值的5%，其中</w:t>
      </w:r>
      <w:r>
        <w:rPr>
          <w:bCs/>
          <w:sz w:val="24"/>
        </w:rPr>
        <w:t>现金不包含</w:t>
      </w:r>
      <w:r>
        <w:rPr>
          <w:rFonts w:hint="eastAsia"/>
          <w:bCs/>
          <w:sz w:val="24"/>
        </w:rPr>
        <w:t>结算备付金、存出保证金和应收申购款等；股指期货及其他金融工具的投资比例依照法律法规或监管机构的规定执行。</w:t>
      </w:r>
    </w:p>
    <w:p>
      <w:pPr>
        <w:spacing w:line="360" w:lineRule="auto"/>
        <w:ind w:firstLine="480" w:firstLineChars="200"/>
        <w:rPr>
          <w:bCs/>
          <w:sz w:val="24"/>
        </w:rPr>
      </w:pPr>
      <w:r>
        <w:rPr>
          <w:rFonts w:hint="eastAsia"/>
          <w:bCs/>
          <w:sz w:val="24"/>
        </w:rPr>
        <w:t>如果法律法规对该比例要求有变更的，基金管理人在履行适当程序后，本基金的投资比例相应调整。</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bCs/>
          <w:sz w:val="24"/>
        </w:rPr>
        <w:t>1、</w:t>
      </w:r>
      <w:r>
        <w:rPr>
          <w:rFonts w:hint="eastAsia"/>
          <w:bCs/>
          <w:sz w:val="24"/>
        </w:rPr>
        <w:t>大类</w:t>
      </w:r>
      <w:r>
        <w:rPr>
          <w:bCs/>
          <w:sz w:val="24"/>
        </w:rPr>
        <w:t>资产配置策略</w:t>
      </w:r>
    </w:p>
    <w:p>
      <w:pPr>
        <w:spacing w:line="360" w:lineRule="auto"/>
        <w:ind w:firstLine="480" w:firstLineChars="200"/>
        <w:rPr>
          <w:bCs/>
          <w:sz w:val="24"/>
        </w:rPr>
      </w:pPr>
      <w:r>
        <w:rPr>
          <w:rFonts w:hint="eastAsia"/>
          <w:bCs/>
          <w:sz w:val="24"/>
        </w:rPr>
        <w:t>本基金采用多因素分析框架，从宏观经济环境、政策因素、市场利率水平、资金供求因素、市场投资价值等方面，采取定量与定性相结合的分析方法，给出股票、债券和货币市场工具等大类资产投资机会的整体评估，作为资产配置的重要依据。基金管理人将根据股市、债市等的相对风险收益预期，调整股票、债券和货币市场工具等资产的配置比例。</w:t>
      </w:r>
    </w:p>
    <w:p>
      <w:pPr>
        <w:spacing w:line="360" w:lineRule="auto"/>
        <w:ind w:firstLine="480" w:firstLineChars="200"/>
        <w:rPr>
          <w:bCs/>
          <w:sz w:val="24"/>
        </w:rPr>
      </w:pPr>
      <w:r>
        <w:rPr>
          <w:rFonts w:hint="eastAsia"/>
          <w:bCs/>
          <w:sz w:val="24"/>
        </w:rPr>
        <w:t>2、债券投资策略</w:t>
      </w:r>
    </w:p>
    <w:p>
      <w:pPr>
        <w:spacing w:line="360" w:lineRule="auto"/>
        <w:ind w:firstLine="480" w:firstLineChars="200"/>
        <w:rPr>
          <w:bCs/>
          <w:sz w:val="24"/>
        </w:rPr>
      </w:pPr>
      <w:r>
        <w:rPr>
          <w:rFonts w:hint="eastAsia"/>
          <w:bCs/>
          <w:sz w:val="24"/>
        </w:rPr>
        <w:t>（1）利率类品种投资策略</w:t>
      </w:r>
    </w:p>
    <w:p>
      <w:pPr>
        <w:spacing w:line="360" w:lineRule="auto"/>
        <w:ind w:firstLine="480" w:firstLineChars="200"/>
        <w:rPr>
          <w:bCs/>
          <w:sz w:val="24"/>
        </w:rPr>
      </w:pPr>
      <w:r>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pPr>
        <w:spacing w:line="360" w:lineRule="auto"/>
        <w:ind w:firstLine="480" w:firstLineChars="200"/>
        <w:rPr>
          <w:bCs/>
          <w:sz w:val="24"/>
        </w:rPr>
      </w:pPr>
      <w:r>
        <w:rPr>
          <w:rFonts w:hint="eastAsia"/>
          <w:bCs/>
          <w:sz w:val="24"/>
        </w:rPr>
        <w:t>（2）信用债投资策略</w:t>
      </w:r>
    </w:p>
    <w:p>
      <w:pPr>
        <w:spacing w:line="360" w:lineRule="auto"/>
        <w:ind w:firstLine="480" w:firstLineChars="200"/>
        <w:rPr>
          <w:bCs/>
          <w:sz w:val="24"/>
        </w:rPr>
      </w:pPr>
      <w:r>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w:t>
      </w:r>
    </w:p>
    <w:p>
      <w:pPr>
        <w:spacing w:line="360" w:lineRule="auto"/>
        <w:ind w:firstLine="480" w:firstLineChars="200"/>
        <w:rPr>
          <w:bCs/>
          <w:sz w:val="24"/>
        </w:rPr>
      </w:pPr>
      <w:r>
        <w:rPr>
          <w:rFonts w:hint="eastAsia"/>
          <w:bCs/>
          <w:sz w:val="24"/>
        </w:rPr>
        <w:t>（3）可转换债券投资策略</w:t>
      </w:r>
    </w:p>
    <w:p>
      <w:pPr>
        <w:spacing w:line="360" w:lineRule="auto"/>
        <w:ind w:firstLine="480" w:firstLineChars="200"/>
        <w:rPr>
          <w:bCs/>
          <w:sz w:val="24"/>
        </w:rPr>
      </w:pPr>
      <w:r>
        <w:rPr>
          <w:rFonts w:hint="eastAsia"/>
          <w:bCs/>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pPr>
        <w:tabs>
          <w:tab w:val="center" w:pos="4393"/>
        </w:tabs>
        <w:spacing w:line="360" w:lineRule="auto"/>
        <w:ind w:firstLine="480" w:firstLineChars="200"/>
        <w:rPr>
          <w:bCs/>
          <w:sz w:val="24"/>
        </w:rPr>
      </w:pPr>
      <w:r>
        <w:rPr>
          <w:rFonts w:hint="eastAsia"/>
          <w:bCs/>
          <w:sz w:val="24"/>
        </w:rPr>
        <w:t>3、股票投资策略</w:t>
      </w:r>
    </w:p>
    <w:p>
      <w:pPr>
        <w:tabs>
          <w:tab w:val="center" w:pos="4393"/>
        </w:tabs>
        <w:spacing w:line="360" w:lineRule="auto"/>
        <w:ind w:firstLine="480" w:firstLineChars="200"/>
        <w:rPr>
          <w:bCs/>
          <w:sz w:val="24"/>
        </w:rPr>
      </w:pPr>
      <w:r>
        <w:rPr>
          <w:rFonts w:hint="eastAsia"/>
          <w:bCs/>
          <w:sz w:val="24"/>
        </w:rPr>
        <w:t>（1）行业配置策略</w:t>
      </w:r>
    </w:p>
    <w:p>
      <w:pPr>
        <w:tabs>
          <w:tab w:val="center" w:pos="4393"/>
        </w:tabs>
        <w:spacing w:line="360" w:lineRule="auto"/>
        <w:ind w:firstLine="480" w:firstLineChars="200"/>
        <w:rPr>
          <w:bCs/>
          <w:sz w:val="24"/>
        </w:rPr>
      </w:pPr>
      <w:r>
        <w:rPr>
          <w:rFonts w:hint="eastAsia"/>
          <w:bCs/>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pPr>
        <w:tabs>
          <w:tab w:val="center" w:pos="4393"/>
        </w:tabs>
        <w:spacing w:line="360" w:lineRule="auto"/>
        <w:ind w:firstLine="480" w:firstLineChars="200"/>
        <w:rPr>
          <w:bCs/>
          <w:sz w:val="24"/>
        </w:rPr>
      </w:pPr>
      <w:r>
        <w:rPr>
          <w:rFonts w:hint="eastAsia"/>
          <w:bCs/>
          <w:sz w:val="24"/>
        </w:rPr>
        <w:t>（2）个股投资策略</w:t>
      </w:r>
    </w:p>
    <w:p>
      <w:pPr>
        <w:tabs>
          <w:tab w:val="center" w:pos="4393"/>
        </w:tabs>
        <w:spacing w:line="360" w:lineRule="auto"/>
        <w:ind w:firstLine="480" w:firstLineChars="200"/>
        <w:rPr>
          <w:bCs/>
          <w:sz w:val="24"/>
        </w:rPr>
      </w:pPr>
      <w:r>
        <w:rPr>
          <w:rFonts w:hint="eastAsia"/>
          <w:bCs/>
          <w:sz w:val="24"/>
        </w:rPr>
        <w:t>本基金将主要采用“自下而上”的个股选择方法，在拟配置的行业内部通过定量与定性相结合的分析方法选筛选个股。</w:t>
      </w:r>
    </w:p>
    <w:p>
      <w:pPr>
        <w:tabs>
          <w:tab w:val="center" w:pos="4393"/>
        </w:tabs>
        <w:spacing w:line="360" w:lineRule="auto"/>
        <w:ind w:firstLine="480" w:firstLineChars="200"/>
        <w:rPr>
          <w:bCs/>
          <w:sz w:val="24"/>
        </w:rPr>
      </w:pPr>
      <w:r>
        <w:rPr>
          <w:rFonts w:hint="eastAsia"/>
          <w:bCs/>
          <w:sz w:val="24"/>
        </w:rPr>
        <w:t>定量的方法主要是通过公司自有个股分析模型，通过对价值指标、成长指标、盈利指标等公开数据的细致分析，考察上市公司的盈利能力、盈利质量、成长能力、运营能力以及负债水平等方面，初步筛选出财务健康、成长性良好的优质股票。</w:t>
      </w:r>
    </w:p>
    <w:p>
      <w:pPr>
        <w:spacing w:line="360" w:lineRule="auto"/>
        <w:ind w:firstLine="480" w:firstLineChars="200"/>
        <w:rPr>
          <w:bCs/>
          <w:sz w:val="24"/>
        </w:rPr>
      </w:pPr>
      <w:r>
        <w:rPr>
          <w:rFonts w:hint="eastAsia"/>
          <w:bCs/>
          <w:sz w:val="24"/>
        </w:rPr>
        <w:t>定性的方法主要是在定量分析的基础上，由公司的研究人员采用案头研究和实地调研相结合的办法对拟投资公司的投资价值、核心竞争力、主营业务成长性、公司治理结构、经营管理能力、商业模式、等进行定性分析以确定最终的投资目标。</w:t>
      </w:r>
    </w:p>
    <w:p>
      <w:pPr>
        <w:spacing w:line="360" w:lineRule="auto"/>
        <w:ind w:firstLine="480" w:firstLineChars="200"/>
        <w:rPr>
          <w:bCs/>
          <w:sz w:val="24"/>
        </w:rPr>
      </w:pPr>
      <w:r>
        <w:rPr>
          <w:rFonts w:hint="eastAsia"/>
          <w:bCs/>
          <w:sz w:val="24"/>
        </w:rPr>
        <w:t>4、资产支持证券投资策略</w:t>
      </w:r>
    </w:p>
    <w:p>
      <w:pPr>
        <w:spacing w:line="360" w:lineRule="auto"/>
        <w:ind w:firstLine="480" w:firstLineChars="200"/>
        <w:rPr>
          <w:bCs/>
          <w:sz w:val="24"/>
        </w:rPr>
      </w:pPr>
      <w:r>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pPr>
        <w:spacing w:line="360" w:lineRule="auto"/>
        <w:ind w:firstLine="480" w:firstLineChars="200"/>
        <w:rPr>
          <w:bCs/>
          <w:sz w:val="24"/>
        </w:rPr>
      </w:pPr>
      <w:r>
        <w:rPr>
          <w:rFonts w:hint="eastAsia"/>
          <w:bCs/>
          <w:sz w:val="24"/>
        </w:rPr>
        <w:t>5、股指期货投资策略</w:t>
      </w:r>
    </w:p>
    <w:p>
      <w:pPr>
        <w:spacing w:line="360" w:lineRule="auto"/>
        <w:ind w:firstLine="480" w:firstLineChars="200"/>
        <w:rPr>
          <w:bCs/>
          <w:sz w:val="24"/>
        </w:rPr>
      </w:pPr>
      <w:r>
        <w:rPr>
          <w:rFonts w:hint="eastAsia"/>
          <w:bCs/>
          <w:sz w:val="24"/>
        </w:rPr>
        <w:t>本基金将根据风险管理的原则，以套期保值为目的，有选择地投资于流动性好、交易活跃的股指期货合约。</w:t>
      </w:r>
    </w:p>
    <w:p>
      <w:pPr>
        <w:spacing w:line="360" w:lineRule="auto"/>
        <w:ind w:firstLine="480" w:firstLineChars="200"/>
        <w:rPr>
          <w:bCs/>
          <w:sz w:val="24"/>
        </w:rPr>
      </w:pPr>
      <w:r>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pPr>
        <w:spacing w:line="360" w:lineRule="auto"/>
        <w:ind w:firstLine="480" w:firstLineChars="200"/>
        <w:rPr>
          <w:bCs/>
          <w:sz w:val="24"/>
        </w:rPr>
      </w:pPr>
      <w:r>
        <w:rPr>
          <w:rFonts w:hint="eastAsia"/>
          <w:bCs/>
          <w:sz w:val="24"/>
        </w:rPr>
        <w:t>6、参与融资业务投资策略</w:t>
      </w:r>
    </w:p>
    <w:p>
      <w:pPr>
        <w:spacing w:line="360" w:lineRule="auto"/>
        <w:ind w:firstLine="480" w:firstLineChars="200"/>
        <w:rPr>
          <w:bCs/>
          <w:sz w:val="24"/>
        </w:rPr>
      </w:pPr>
      <w:r>
        <w:rPr>
          <w:rFonts w:hint="eastAsia"/>
          <w:bCs/>
          <w:sz w:val="24"/>
        </w:rPr>
        <w:t>本基金在参与融资时将根据风险管理的原则，在法律法规允许的范围和比例内、风险可控的前提下，本着谨慎原则，参与融资业务。</w:t>
      </w:r>
    </w:p>
    <w:p>
      <w:pPr>
        <w:spacing w:line="360" w:lineRule="auto"/>
        <w:ind w:firstLine="480" w:firstLineChars="200"/>
        <w:rPr>
          <w:rFonts w:hint="eastAsia"/>
          <w:bCs/>
          <w:sz w:val="24"/>
        </w:rPr>
      </w:pPr>
      <w:r>
        <w:rPr>
          <w:rFonts w:hint="eastAsia"/>
          <w:bCs/>
          <w:sz w:val="24"/>
        </w:rPr>
        <w:t>7、存托凭证投资策略</w:t>
      </w:r>
    </w:p>
    <w:p>
      <w:pPr>
        <w:spacing w:line="360" w:lineRule="auto"/>
        <w:ind w:firstLine="480" w:firstLineChars="200"/>
        <w:rPr>
          <w:bCs/>
          <w:sz w:val="24"/>
        </w:rPr>
      </w:pPr>
      <w:r>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w:t>
      </w:r>
      <w:r>
        <w:rPr>
          <w:bCs/>
          <w:sz w:val="24"/>
        </w:rPr>
        <w:t>1</w:t>
      </w:r>
      <w:r>
        <w:rPr>
          <w:rFonts w:hint="eastAsia"/>
          <w:bCs/>
          <w:sz w:val="24"/>
        </w:rPr>
        <w:t>）股票投资占基金资产的比例为0-30%；债券资产、资产支持证券、债券回购、银行存款、同业存单、货币市场工具等固定收益类资产占基金资产的比例不低于50%；同业存单投资占基金资产的比例不超过20%；</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保持不低于基金资产净值5％的现金或者到期日在一年以内的政府债券</w:t>
      </w:r>
      <w:r>
        <w:rPr>
          <w:rFonts w:hint="eastAsia"/>
          <w:bCs/>
          <w:sz w:val="24"/>
        </w:rPr>
        <w:t>，其中现金不包括结算备付金、存出保证金和应收申购款等；</w:t>
      </w:r>
    </w:p>
    <w:p>
      <w:pPr>
        <w:spacing w:line="360" w:lineRule="auto"/>
        <w:ind w:firstLine="480" w:firstLineChars="200"/>
        <w:rPr>
          <w:bCs/>
          <w:sz w:val="24"/>
        </w:rPr>
      </w:pPr>
      <w:r>
        <w:rPr>
          <w:rFonts w:hint="eastAsia"/>
          <w:bCs/>
          <w:sz w:val="24"/>
        </w:rPr>
        <w:t>（3）基金参与股指期货交易，应当遵守下列要求：</w:t>
      </w:r>
    </w:p>
    <w:p>
      <w:pPr>
        <w:spacing w:line="360" w:lineRule="auto"/>
        <w:ind w:firstLine="480" w:firstLineChars="200"/>
        <w:rPr>
          <w:bCs/>
          <w:sz w:val="24"/>
        </w:rPr>
      </w:pPr>
      <w:r>
        <w:rPr>
          <w:rFonts w:hint="eastAsia"/>
          <w:bCs/>
          <w:sz w:val="24"/>
        </w:rPr>
        <w:t>a.</w:t>
      </w:r>
      <w:r>
        <w:rPr>
          <w:bCs/>
          <w:sz w:val="24"/>
        </w:rPr>
        <w:t>基金在任何交易日日终，持有的买入股指期货合约价值，不得超过基金资产净值的10%</w:t>
      </w:r>
      <w:r>
        <w:rPr>
          <w:rFonts w:hint="eastAsia"/>
          <w:bCs/>
          <w:sz w:val="24"/>
        </w:rPr>
        <w:t>；</w:t>
      </w:r>
    </w:p>
    <w:p>
      <w:pPr>
        <w:spacing w:line="360" w:lineRule="auto"/>
        <w:ind w:firstLine="480" w:firstLineChars="200"/>
        <w:rPr>
          <w:sz w:val="24"/>
        </w:rPr>
      </w:pPr>
      <w:r>
        <w:rPr>
          <w:rFonts w:hint="eastAsia"/>
          <w:bCs/>
          <w:sz w:val="24"/>
        </w:rPr>
        <w:t>b.</w:t>
      </w:r>
      <w:r>
        <w:rPr>
          <w:bCs/>
          <w:sz w:val="24"/>
        </w:rPr>
        <w:t>基金在任何交易日日终，持有的买入期货合约价值与有价证券市值之和</w:t>
      </w:r>
      <w:r>
        <w:rPr>
          <w:rFonts w:hint="eastAsia"/>
          <w:bCs/>
          <w:sz w:val="24"/>
        </w:rPr>
        <w:t>，</w:t>
      </w:r>
      <w:r>
        <w:rPr>
          <w:bCs/>
          <w:sz w:val="24"/>
        </w:rPr>
        <w:t>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c.基金在任何交易日日终，持有的卖出股指期货合约价值不得超过基金持有的股票总市值的20%；</w:t>
      </w:r>
    </w:p>
    <w:p>
      <w:pPr>
        <w:spacing w:line="360" w:lineRule="auto"/>
        <w:ind w:firstLine="480" w:firstLineChars="20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pPr>
        <w:spacing w:line="360" w:lineRule="auto"/>
        <w:ind w:firstLine="480" w:firstLineChars="200"/>
        <w:rPr>
          <w:bCs/>
          <w:sz w:val="24"/>
        </w:rPr>
      </w:pPr>
      <w:r>
        <w:rPr>
          <w:rFonts w:hint="eastAsia"/>
          <w:bCs/>
          <w:sz w:val="24"/>
        </w:rPr>
        <w:t>e.</w:t>
      </w:r>
      <w:r>
        <w:rPr>
          <w:bCs/>
          <w:sz w:val="24"/>
        </w:rPr>
        <w:t>基金在任何交易日内交易（不包括平仓）的股指期货合约的成交金额不得超过上一交易日基金资产净值的20%</w:t>
      </w:r>
      <w:r>
        <w:rPr>
          <w:rFonts w:hint="eastAsia"/>
          <w:bCs/>
          <w:sz w:val="24"/>
        </w:rPr>
        <w:t>；</w:t>
      </w:r>
    </w:p>
    <w:p>
      <w:pPr>
        <w:spacing w:line="360" w:lineRule="auto"/>
        <w:ind w:firstLine="480" w:firstLineChars="20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5</w:t>
      </w:r>
      <w:r>
        <w:rPr>
          <w:bCs/>
          <w:sz w:val="24"/>
        </w:rPr>
        <w:t>）本基金管理人管理的全部基金持有一家公司发行的证券，不超过该证券的10%；</w:t>
      </w:r>
    </w:p>
    <w:p>
      <w:pPr>
        <w:spacing w:line="360" w:lineRule="auto"/>
        <w:ind w:firstLine="480" w:firstLineChars="200"/>
        <w:rPr>
          <w:bCs/>
          <w:sz w:val="24"/>
        </w:rPr>
      </w:pPr>
      <w:r>
        <w:rPr>
          <w:bCs/>
          <w:sz w:val="24"/>
        </w:rPr>
        <w:t>（</w:t>
      </w:r>
      <w:r>
        <w:rPr>
          <w:rFonts w:hint="eastAsia"/>
          <w:bCs/>
          <w:sz w:val="24"/>
        </w:rPr>
        <w:t>6</w:t>
      </w:r>
      <w:r>
        <w:rPr>
          <w:bCs/>
          <w:sz w:val="24"/>
        </w:rPr>
        <w:t>）本基金投资于同一原始权益人的各类资产支持证券的比例，不得超过基金资产净值的10%；</w:t>
      </w:r>
    </w:p>
    <w:p>
      <w:pPr>
        <w:spacing w:line="360" w:lineRule="auto"/>
        <w:ind w:firstLine="480" w:firstLineChars="200"/>
        <w:rPr>
          <w:bCs/>
          <w:sz w:val="24"/>
        </w:rPr>
      </w:pPr>
      <w:r>
        <w:rPr>
          <w:bCs/>
          <w:sz w:val="24"/>
        </w:rPr>
        <w:t>（</w:t>
      </w:r>
      <w:r>
        <w:rPr>
          <w:rFonts w:hint="eastAsia"/>
          <w:bCs/>
          <w:sz w:val="24"/>
        </w:rPr>
        <w:t>7</w:t>
      </w:r>
      <w:r>
        <w:rPr>
          <w:bCs/>
          <w:sz w:val="24"/>
        </w:rPr>
        <w:t>）本基金持有的全部资产支持证券，其市值不得超过基金资产净值的20%；</w:t>
      </w:r>
    </w:p>
    <w:p>
      <w:pPr>
        <w:spacing w:line="360" w:lineRule="auto"/>
        <w:ind w:firstLine="480" w:firstLineChars="200"/>
        <w:rPr>
          <w:bCs/>
          <w:sz w:val="24"/>
        </w:rPr>
      </w:pPr>
      <w:r>
        <w:rPr>
          <w:bCs/>
          <w:sz w:val="24"/>
        </w:rPr>
        <w:t>（</w:t>
      </w:r>
      <w:r>
        <w:rPr>
          <w:rFonts w:hint="eastAsia"/>
          <w:bCs/>
          <w:sz w:val="24"/>
        </w:rPr>
        <w:t>8</w:t>
      </w:r>
      <w:r>
        <w:rPr>
          <w:bCs/>
          <w:sz w:val="24"/>
        </w:rPr>
        <w:t>）本基金持有的同一(指同一信用级别)资产支持证券的比例，不得超过该资产支持证券规模的10%；</w:t>
      </w:r>
    </w:p>
    <w:p>
      <w:pPr>
        <w:spacing w:line="360" w:lineRule="auto"/>
        <w:ind w:firstLine="480" w:firstLineChars="20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（1</w:t>
      </w:r>
      <w:r>
        <w:rPr>
          <w:rFonts w:hint="eastAsia"/>
          <w:bCs/>
          <w:sz w:val="24"/>
        </w:rPr>
        <w:t>0</w:t>
      </w:r>
      <w:r>
        <w:rPr>
          <w:bCs/>
          <w:sz w:val="24"/>
        </w:rPr>
        <w:t>）本基金应投资于信用级别评级为BBB以上(含BBB)的资产支持证券。基金持有资产支持证券期间，如果其信用等级下降、不再符合投资标准，应在评级报告发布之日起3个月内予以全部卖出；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w:t>
      </w:r>
      <w:r>
        <w:rPr>
          <w:rFonts w:hint="eastAsia"/>
          <w:bCs/>
          <w:sz w:val="24"/>
        </w:rPr>
        <w:t>1</w:t>
      </w:r>
      <w:r>
        <w:rPr>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（1</w:t>
      </w:r>
      <w:r>
        <w:rPr>
          <w:rFonts w:hint="eastAsia"/>
          <w:bCs/>
          <w:sz w:val="24"/>
        </w:rPr>
        <w:t>2</w:t>
      </w:r>
      <w:r>
        <w:rPr>
          <w:bCs/>
          <w:sz w:val="24"/>
        </w:rPr>
        <w:t>）本基金进入全国银行间同业市场进行债券回购的资金余额不得超过基金资产净值的40%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p>
    <w:p>
      <w:pPr>
        <w:spacing w:line="360" w:lineRule="auto"/>
        <w:ind w:firstLine="480" w:firstLineChars="200"/>
        <w:rPr>
          <w:bCs/>
          <w:sz w:val="24"/>
        </w:rPr>
      </w:pPr>
      <w:r>
        <w:rPr>
          <w:bCs/>
          <w:sz w:val="24"/>
        </w:rPr>
        <w:t>（1</w:t>
      </w:r>
      <w:r>
        <w:rPr>
          <w:rFonts w:hint="eastAsia"/>
          <w:bCs/>
          <w:sz w:val="24"/>
        </w:rPr>
        <w:t>3</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管理人管理的全部开放式基金（包括开放式基金以及处于开放期的定期开放基金）持有一家上市公司发行的可流通股票，不得超过该上市公司可流通股票的15%</w:t>
      </w:r>
      <w:r>
        <w:rPr>
          <w:bCs/>
          <w:sz w:val="24"/>
        </w:rPr>
        <w:t>；</w:t>
      </w:r>
      <w:r>
        <w:rPr>
          <w:rFonts w:hint="eastAsia"/>
          <w:bCs/>
          <w:sz w:val="24"/>
        </w:rPr>
        <w:t>本基金管理人管理的全部投资组合持有一家上市公司发行的可流通股票，不得超过该上市公司可流通股票的30%；</w:t>
      </w:r>
    </w:p>
    <w:p>
      <w:pPr>
        <w:spacing w:line="360" w:lineRule="auto"/>
        <w:ind w:firstLine="480" w:firstLineChars="200"/>
        <w:rPr>
          <w:bCs/>
          <w:sz w:val="24"/>
        </w:rPr>
      </w:pPr>
      <w:r>
        <w:rPr>
          <w:rFonts w:hint="eastAsia"/>
          <w:bCs/>
          <w:sz w:val="24"/>
        </w:rPr>
        <w:t>（14）本基金参与融资业务的，应当遵守下列要求：每个交易日日终，本基金持有的融资买入股票与其他有价证券市值之和，不得超过基金资产净值的95</w:t>
      </w:r>
      <w:r>
        <w:rPr>
          <w:bCs/>
          <w:sz w:val="24"/>
        </w:rPr>
        <w:t>%</w:t>
      </w:r>
      <w:r>
        <w:rPr>
          <w:rFonts w:hint="eastAsia"/>
          <w:bCs/>
          <w:sz w:val="24"/>
        </w:rPr>
        <w:t>；</w:t>
      </w:r>
    </w:p>
    <w:p>
      <w:pPr>
        <w:spacing w:line="360" w:lineRule="auto"/>
        <w:ind w:firstLine="480" w:firstLineChars="200"/>
        <w:rPr>
          <w:bCs/>
          <w:sz w:val="24"/>
        </w:rPr>
      </w:pPr>
      <w:r>
        <w:rPr>
          <w:rFonts w:hint="eastAsia"/>
          <w:bCs/>
          <w:sz w:val="24"/>
        </w:rPr>
        <w:t>（15）</w:t>
      </w:r>
      <w:r>
        <w:rPr>
          <w:bCs/>
          <w:sz w:val="24"/>
        </w:rPr>
        <w:t>本基金主动投资于流动性受限资产的市值合计不得超过该基金资产净值的15%；</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pPr>
        <w:spacing w:line="360" w:lineRule="auto"/>
        <w:ind w:firstLine="480" w:firstLineChars="200"/>
        <w:rPr>
          <w:bCs/>
          <w:sz w:val="24"/>
        </w:rPr>
      </w:pPr>
      <w:r>
        <w:rPr>
          <w:rFonts w:hint="eastAsia"/>
          <w:bCs/>
          <w:sz w:val="24"/>
        </w:rPr>
        <w:t>（16）本基金与私募类证券资管产品及中国证监会认定的其他主体为交易对手开展逆回购交易的，</w:t>
      </w:r>
      <w:r>
        <w:rPr>
          <w:bCs/>
          <w:sz w:val="24"/>
        </w:rPr>
        <w:t>可接受质押品的资质要求应当与本基金合同约定的投资范围保持一致</w:t>
      </w:r>
      <w:r>
        <w:rPr>
          <w:rFonts w:hint="eastAsia"/>
          <w:bCs/>
          <w:sz w:val="24"/>
        </w:rPr>
        <w:t>；</w:t>
      </w:r>
    </w:p>
    <w:p>
      <w:pPr>
        <w:spacing w:line="360" w:lineRule="auto"/>
        <w:ind w:firstLine="480" w:firstLineChars="200"/>
        <w:rPr>
          <w:bCs/>
          <w:sz w:val="24"/>
        </w:rPr>
      </w:pPr>
      <w:r>
        <w:rPr>
          <w:rFonts w:hint="eastAsia"/>
          <w:bCs/>
          <w:sz w:val="24"/>
        </w:rPr>
        <w:t>（17）</w:t>
      </w:r>
      <w:r>
        <w:rPr>
          <w:bCs/>
          <w:sz w:val="24"/>
        </w:rPr>
        <w:t>本基金资产总值不超过基金资产净值的140%；</w:t>
      </w:r>
    </w:p>
    <w:p>
      <w:pPr>
        <w:spacing w:line="360" w:lineRule="auto"/>
        <w:ind w:firstLine="480" w:firstLineChars="200"/>
        <w:rPr>
          <w:bCs/>
          <w:sz w:val="24"/>
        </w:rPr>
      </w:pPr>
      <w:r>
        <w:rPr>
          <w:rFonts w:hint="eastAsia"/>
          <w:bCs/>
          <w:sz w:val="24"/>
        </w:rPr>
        <w:t>（18）本基金投资存托凭证的比例限制依照境内上市交易的股票执行，与境内上市交易的股票合并计算，法律法规或监管部门另有要求的除外；</w:t>
      </w:r>
    </w:p>
    <w:p>
      <w:pPr>
        <w:spacing w:line="360" w:lineRule="auto"/>
        <w:ind w:firstLine="480" w:firstLineChars="200"/>
        <w:rPr>
          <w:bCs/>
          <w:sz w:val="24"/>
        </w:rPr>
      </w:pPr>
      <w:r>
        <w:rPr>
          <w:bCs/>
          <w:sz w:val="24"/>
        </w:rPr>
        <w:t>（1</w:t>
      </w:r>
      <w:r>
        <w:rPr>
          <w:rFonts w:hint="eastAsia"/>
          <w:bCs/>
          <w:sz w:val="24"/>
        </w:rPr>
        <w:t>9</w:t>
      </w:r>
      <w:r>
        <w:rPr>
          <w:bCs/>
          <w:sz w:val="24"/>
        </w:rPr>
        <w:t>）</w:t>
      </w:r>
      <w:r>
        <w:rPr>
          <w:rFonts w:hint="eastAsia"/>
          <w:bCs/>
          <w:sz w:val="24"/>
        </w:rPr>
        <w:t>法律法规及中国证监会规定的和《基金合同》约定的其他投资限制。</w:t>
      </w:r>
    </w:p>
    <w:p>
      <w:pPr>
        <w:spacing w:line="360" w:lineRule="auto"/>
        <w:ind w:firstLine="480" w:firstLineChars="200"/>
        <w:rPr>
          <w:sz w:val="24"/>
        </w:rPr>
      </w:pPr>
      <w:r>
        <w:rPr>
          <w:rFonts w:hint="eastAsia"/>
          <w:bCs/>
          <w:sz w:val="24"/>
        </w:rPr>
        <w:t>除上述第（2）、（10）、（15）、（16）项情形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，但中国证监会规定的特殊情形除外</w:t>
      </w:r>
      <w:r>
        <w:rPr>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w:t>
      </w:r>
      <w:r>
        <w:rPr>
          <w:bCs/>
          <w:sz w:val="24"/>
        </w:rPr>
        <w:t>本基金的投资范围</w:t>
      </w:r>
      <w:r>
        <w:rPr>
          <w:rFonts w:hint="eastAsia"/>
          <w:bCs/>
          <w:sz w:val="24"/>
        </w:rPr>
        <w:t>、投资策略应当符合基金合同的约定。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rFonts w:hint="eastAsia"/>
          <w:sz w:val="24"/>
        </w:rPr>
        <w:t>如果法律法规或监管部门对上述投资组合比例限制进行变更的，以变更后的规定为准。</w:t>
      </w:r>
      <w:r>
        <w:rPr>
          <w:bCs/>
          <w:sz w:val="24"/>
        </w:rPr>
        <w:t>法律法规或监管部门取消上述限制</w:t>
      </w:r>
      <w:r>
        <w:rPr>
          <w:rFonts w:hint="eastAsia"/>
          <w:bCs/>
          <w:sz w:val="24"/>
        </w:rPr>
        <w:t>，如适用于本基金，基金管理人在履行适当程序后，</w:t>
      </w:r>
      <w:r>
        <w:rPr>
          <w:bCs/>
          <w:sz w:val="24"/>
        </w:rPr>
        <w:t>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w:t>
      </w:r>
      <w:r>
        <w:rPr>
          <w:rFonts w:hint="eastAsia" w:ascii="宋体" w:hAnsi="宋体"/>
          <w:color w:val="000000"/>
          <w:kern w:val="0"/>
          <w:sz w:val="24"/>
        </w:rPr>
        <w:t>法律、行政法规和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bCs/>
          <w:sz w:val="24"/>
        </w:rPr>
        <w:t>法律</w:t>
      </w:r>
      <w:r>
        <w:rPr>
          <w:rFonts w:hint="eastAsia" w:ascii="宋体" w:hAnsi="宋体" w:cs="Arial"/>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上述禁止性规定，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本基金</w:t>
      </w:r>
      <w:r>
        <w:rPr>
          <w:rFonts w:hint="eastAsia"/>
          <w:sz w:val="24"/>
        </w:rPr>
        <w:t>业绩比较基准</w:t>
      </w:r>
      <w:r>
        <w:rPr>
          <w:rFonts w:hint="eastAsia"/>
          <w:bCs/>
          <w:sz w:val="24"/>
        </w:rPr>
        <w:t>：中证800指数收益率×15%+中债综合全价指数收益率×85%。</w:t>
      </w:r>
    </w:p>
    <w:p>
      <w:pPr>
        <w:spacing w:line="360" w:lineRule="auto"/>
        <w:ind w:firstLine="480" w:firstLineChars="200"/>
        <w:rPr>
          <w:bCs/>
          <w:sz w:val="24"/>
        </w:rPr>
      </w:pPr>
      <w:r>
        <w:rPr>
          <w:rFonts w:hint="eastAsia"/>
          <w:bCs/>
          <w:sz w:val="24"/>
        </w:rPr>
        <w:t>其中，中证 800 指数是由中证指数有限公司编制，它的样本选自沪深两个 证券市场800只股票，具备市场覆盖度广、代表性强、流动性强、指数编制方法透明等特点。中债综合全价指数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综合全价指数各项指标值的时间序列更加完整，有利于更加深入地研究和分析市场。</w:t>
      </w:r>
    </w:p>
    <w:p>
      <w:pPr>
        <w:spacing w:line="360" w:lineRule="auto"/>
        <w:ind w:firstLine="480" w:firstLineChars="200"/>
        <w:rPr>
          <w:bCs/>
          <w:sz w:val="24"/>
        </w:rPr>
      </w:pPr>
      <w:r>
        <w:rPr>
          <w:rFonts w:hint="eastAsia" w:hAnsi="宋体"/>
          <w:bCs/>
          <w:sz w:val="24"/>
        </w:rPr>
        <w:t>本基金是混合型基金，</w:t>
      </w:r>
      <w:r>
        <w:rPr>
          <w:rFonts w:hint="eastAsia"/>
          <w:bCs/>
          <w:sz w:val="24"/>
        </w:rPr>
        <w:t>在综合考虑了上述指数的权威性和代表性、指数的编制方法和本基金的投资范围和投资理念，本基金选用中证800指数收益率与中债综合全价指数收益率的加权，作为本基金的业绩比较基准。该业绩比较基准</w:t>
      </w:r>
      <w:r>
        <w:rPr>
          <w:rFonts w:hint="eastAsia" w:hAnsi="宋体"/>
          <w:bCs/>
          <w:sz w:val="24"/>
        </w:rPr>
        <w:t>能够使本基金投资人理性判断本基金产品的风险收益特征，合理地衡量比较本基金的业绩表现</w:t>
      </w:r>
      <w:r>
        <w:rPr>
          <w:rFonts w:hint="eastAsia"/>
          <w:bCs/>
          <w:sz w:val="24"/>
        </w:rPr>
        <w:t>。</w:t>
      </w:r>
    </w:p>
    <w:p>
      <w:pPr>
        <w:spacing w:line="360" w:lineRule="auto"/>
        <w:ind w:firstLine="480" w:firstLineChars="200"/>
        <w:rPr>
          <w:bCs/>
          <w:sz w:val="24"/>
        </w:rPr>
      </w:pPr>
      <w:r>
        <w:rPr>
          <w:rFonts w:hint="eastAsia"/>
          <w:bCs/>
          <w:sz w:val="24"/>
        </w:rPr>
        <w:t>如果今后法律法规发生变化，或</w:t>
      </w:r>
      <w:r>
        <w:rPr>
          <w:bCs/>
          <w:sz w:val="24"/>
        </w:rPr>
        <w:t>上述业绩比较基准指数停止编制或更改名称，</w:t>
      </w:r>
      <w:r>
        <w:rPr>
          <w:rFonts w:hint="eastAsia"/>
          <w:bCs/>
          <w:sz w:val="24"/>
        </w:rPr>
        <w:t>或者有更权威的、更能为市场普遍接受的</w:t>
      </w:r>
      <w:r>
        <w:rPr>
          <w:rFonts w:hint="eastAsia"/>
          <w:sz w:val="24"/>
        </w:rPr>
        <w:t>业绩比较基准</w:t>
      </w:r>
      <w:r>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Pr>
          <w:rFonts w:hint="eastAsia"/>
          <w:sz w:val="24"/>
        </w:rPr>
        <w:t>需</w:t>
      </w:r>
      <w:r>
        <w:rPr>
          <w:rFonts w:hint="eastAsia"/>
          <w:bCs/>
          <w:sz w:val="24"/>
        </w:rPr>
        <w:t>经基金管理人与基金托管人协商一致报中国证监会备案后及时公告，并在更新的招募说明书中列示，无需召开基金份额持有人大会。</w:t>
      </w:r>
    </w:p>
    <w:p>
      <w:pPr>
        <w:spacing w:line="360" w:lineRule="auto"/>
        <w:ind w:firstLine="480" w:firstLineChars="200"/>
        <w:rPr>
          <w:bCs/>
          <w:sz w:val="24"/>
        </w:rPr>
      </w:pPr>
      <w:r>
        <w:rPr>
          <w:bCs/>
          <w:sz w:val="24"/>
        </w:rPr>
        <w:t>六、风险收益特征</w:t>
      </w:r>
    </w:p>
    <w:p>
      <w:pPr>
        <w:spacing w:line="360" w:lineRule="auto"/>
        <w:ind w:firstLine="480" w:firstLineChars="200"/>
        <w:rPr>
          <w:sz w:val="24"/>
        </w:rPr>
      </w:pPr>
      <w:r>
        <w:rPr>
          <w:rFonts w:hint="eastAsia"/>
          <w:color w:val="000000"/>
          <w:sz w:val="24"/>
        </w:rPr>
        <w:t>本基金为混合型基金，其预期收益及预期风险水平高于债券型基金和货币市场</w:t>
      </w:r>
      <w:r>
        <w:rPr>
          <w:rFonts w:hint="eastAsia"/>
          <w:sz w:val="24"/>
        </w:rPr>
        <w:t>基金，但低于股票型基金。</w:t>
      </w:r>
    </w:p>
    <w:p>
      <w:pPr>
        <w:spacing w:line="360" w:lineRule="auto"/>
        <w:ind w:firstLine="480" w:firstLineChars="200"/>
        <w:rPr>
          <w:bCs/>
          <w:sz w:val="24"/>
        </w:rPr>
      </w:pPr>
      <w:r>
        <w:rPr>
          <w:rFonts w:hint="eastAsia"/>
          <w:bCs/>
          <w:sz w:val="24"/>
        </w:rPr>
        <w:t>七、基金管理人代表基金行使股东或债权人权利的处理原则及方法</w:t>
      </w:r>
    </w:p>
    <w:p>
      <w:pPr>
        <w:spacing w:line="360" w:lineRule="auto"/>
        <w:ind w:firstLine="480" w:firstLineChars="200"/>
        <w:rPr>
          <w:bCs/>
          <w:sz w:val="24"/>
        </w:rPr>
      </w:pPr>
      <w:r>
        <w:rPr>
          <w:rFonts w:hint="eastAsia"/>
          <w:bCs/>
          <w:sz w:val="24"/>
        </w:rPr>
        <w:t xml:space="preserve">1、基金管理人按照国家有关规定代表基金独立行使股东或债权人权利，保护基金份额持有人的利益； </w:t>
      </w:r>
    </w:p>
    <w:p>
      <w:pPr>
        <w:spacing w:line="360" w:lineRule="auto"/>
        <w:ind w:firstLine="480" w:firstLineChars="200"/>
        <w:rPr>
          <w:bCs/>
          <w:sz w:val="24"/>
        </w:rPr>
      </w:pPr>
      <w:r>
        <w:rPr>
          <w:rFonts w:hint="eastAsia"/>
          <w:bCs/>
          <w:sz w:val="24"/>
        </w:rPr>
        <w:t xml:space="preserve">2、不谋求对上市公司的控股； </w:t>
      </w:r>
    </w:p>
    <w:p>
      <w:pPr>
        <w:spacing w:line="360" w:lineRule="auto"/>
        <w:ind w:firstLine="480" w:firstLineChars="200"/>
        <w:rPr>
          <w:bCs/>
          <w:sz w:val="24"/>
        </w:rPr>
      </w:pPr>
      <w:r>
        <w:rPr>
          <w:rFonts w:hint="eastAsia"/>
          <w:bCs/>
          <w:sz w:val="24"/>
        </w:rPr>
        <w:t xml:space="preserve">3、有利于基金财产的安全与增值； </w:t>
      </w:r>
    </w:p>
    <w:p>
      <w:pPr>
        <w:spacing w:line="360" w:lineRule="auto"/>
        <w:ind w:firstLine="480" w:firstLineChars="200"/>
        <w:rPr>
          <w:sz w:val="24"/>
        </w:rPr>
      </w:pPr>
      <w:r>
        <w:rPr>
          <w:rFonts w:hint="eastAsia"/>
          <w:bCs/>
          <w:sz w:val="24"/>
        </w:rPr>
        <w:t>4、不通过关联交易为自身、雇员、授权代理人或任何存在利害关系的第三人牟取任何不当利益。</w:t>
      </w:r>
    </w:p>
    <w:p>
      <w:pPr>
        <w:spacing w:line="360" w:lineRule="auto"/>
        <w:rPr>
          <w:bCs/>
          <w:sz w:val="24"/>
        </w:rPr>
      </w:pPr>
    </w:p>
    <w:p>
      <w:pPr>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292" w:name="_Toc93226145"/>
      <w:bookmarkStart w:id="293" w:name="_Toc92662704"/>
      <w:bookmarkStart w:id="294" w:name="_Toc141703893"/>
      <w:bookmarkStart w:id="295" w:name="_Toc3054"/>
      <w:bookmarkStart w:id="296" w:name="_Toc20237412"/>
      <w:bookmarkStart w:id="297" w:name="_Toc29561"/>
      <w:bookmarkStart w:id="298" w:name="_Toc31611"/>
      <w:bookmarkStart w:id="299" w:name="_Toc26114"/>
      <w:bookmarkStart w:id="300" w:name="_Toc128310496"/>
      <w:bookmarkStart w:id="301" w:name="_Toc24474"/>
      <w:bookmarkStart w:id="302" w:name="_Toc139991743"/>
      <w:bookmarkStart w:id="303" w:name="_Toc20782"/>
      <w:bookmarkStart w:id="304" w:name="_Toc481653684"/>
      <w:bookmarkStart w:id="305" w:name="_Toc18000"/>
      <w:bookmarkStart w:id="306" w:name="_Toc21642"/>
      <w:bookmarkStart w:id="307" w:name="_Toc32030"/>
      <w:bookmarkStart w:id="308" w:name="_Toc20102"/>
      <w:r>
        <w:rPr>
          <w:rFonts w:ascii="Times New Roman"/>
          <w:color w:val="auto"/>
          <w:sz w:val="30"/>
        </w:rPr>
        <w:t>第十</w:t>
      </w:r>
      <w:r>
        <w:rPr>
          <w:rFonts w:hint="eastAsia" w:ascii="Times New Roman"/>
          <w:color w:val="auto"/>
          <w:sz w:val="30"/>
        </w:rPr>
        <w:t>三</w:t>
      </w:r>
      <w:r>
        <w:rPr>
          <w:rFonts w:ascii="Times New Roman"/>
          <w:color w:val="auto"/>
          <w:sz w:val="30"/>
        </w:rPr>
        <w:t>部分</w:t>
      </w:r>
      <w:r>
        <w:rPr>
          <w:rFonts w:hint="eastAsia" w:ascii="Times New Roman"/>
          <w:color w:val="auto"/>
          <w:sz w:val="30"/>
        </w:rPr>
        <w:t xml:space="preserve"> </w:t>
      </w:r>
      <w:r>
        <w:rPr>
          <w:rFonts w:ascii="Times New Roman"/>
          <w:color w:val="auto"/>
          <w:sz w:val="30"/>
        </w:rPr>
        <w:t>基金</w:t>
      </w:r>
      <w:bookmarkEnd w:id="292"/>
      <w:bookmarkEnd w:id="293"/>
      <w:r>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基金资产总值是指购买的各类证券及票据价值、银行存款本息和基金应收的申购基金款以及其他投资所形成的价值总和。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9" w:name="_Hlt88841837"/>
      <w:bookmarkEnd w:id="309"/>
    </w:p>
    <w:p>
      <w:pPr>
        <w:spacing w:line="360" w:lineRule="auto"/>
        <w:ind w:firstLine="480" w:firstLineChars="200"/>
        <w:rPr>
          <w:bCs/>
          <w:sz w:val="24"/>
        </w:rPr>
      </w:pPr>
      <w:r>
        <w:rPr>
          <w:bCs/>
          <w:sz w:val="24"/>
        </w:rPr>
        <w:t>四、基金财产的保管和处分</w:t>
      </w:r>
      <w:bookmarkStart w:id="310" w:name="_Hlt88900062"/>
      <w:bookmarkEnd w:id="310"/>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11" w:name="_Toc17782"/>
      <w:bookmarkStart w:id="312" w:name="_Toc871"/>
      <w:bookmarkStart w:id="313" w:name="_Toc19714"/>
      <w:bookmarkStart w:id="314" w:name="_Toc31917"/>
      <w:bookmarkStart w:id="315" w:name="_Toc20237413"/>
      <w:bookmarkStart w:id="316" w:name="_Toc481653685"/>
      <w:bookmarkStart w:id="317" w:name="_Toc27832"/>
      <w:bookmarkStart w:id="318" w:name="_Toc7802"/>
      <w:bookmarkStart w:id="319" w:name="_Toc139991744"/>
      <w:bookmarkStart w:id="320" w:name="_Toc141703894"/>
      <w:r>
        <w:rPr>
          <w:rFonts w:ascii="Times New Roman"/>
          <w:color w:val="auto"/>
          <w:sz w:val="30"/>
        </w:rPr>
        <w:t>第十</w:t>
      </w:r>
      <w:r>
        <w:rPr>
          <w:rFonts w:hint="eastAsia" w:ascii="Times New Roman"/>
          <w:color w:val="auto"/>
          <w:sz w:val="30"/>
        </w:rPr>
        <w:t>四</w:t>
      </w:r>
      <w:r>
        <w:rPr>
          <w:rFonts w:ascii="Times New Roman"/>
          <w:color w:val="auto"/>
          <w:sz w:val="30"/>
        </w:rPr>
        <w:t>部分</w:t>
      </w:r>
      <w:r>
        <w:rPr>
          <w:rFonts w:hint="eastAsia" w:ascii="Times New Roman"/>
          <w:color w:val="auto"/>
          <w:sz w:val="30"/>
        </w:rPr>
        <w:t xml:space="preserve"> </w:t>
      </w:r>
      <w:r>
        <w:rPr>
          <w:rFonts w:ascii="Times New Roman"/>
          <w:color w:val="auto"/>
          <w:sz w:val="30"/>
        </w:rPr>
        <w:t>基金资产估值</w:t>
      </w:r>
      <w:bookmarkEnd w:id="311"/>
      <w:bookmarkEnd w:id="312"/>
      <w:bookmarkEnd w:id="313"/>
      <w:bookmarkEnd w:id="314"/>
      <w:bookmarkEnd w:id="315"/>
      <w:bookmarkEnd w:id="316"/>
      <w:bookmarkEnd w:id="317"/>
      <w:bookmarkEnd w:id="318"/>
    </w:p>
    <w:p>
      <w:pPr>
        <w:spacing w:line="360" w:lineRule="auto"/>
        <w:ind w:firstLine="480" w:firstLineChars="200"/>
        <w:rPr>
          <w:sz w:val="24"/>
        </w:rPr>
      </w:pPr>
      <w:r>
        <w:rPr>
          <w:rFonts w:hint="eastAsia"/>
          <w:sz w:val="24"/>
        </w:rPr>
        <w:t>一、估值日</w:t>
      </w:r>
    </w:p>
    <w:p>
      <w:pPr>
        <w:spacing w:line="360" w:lineRule="auto"/>
        <w:ind w:firstLine="480" w:firstLineChars="200"/>
        <w:rPr>
          <w:sz w:val="24"/>
        </w:rPr>
      </w:pPr>
      <w:r>
        <w:rPr>
          <w:rFonts w:hint="eastAsia"/>
          <w:sz w:val="24"/>
        </w:rPr>
        <w:t>本基金的估值日为本基金相关的证券交易场所的交易日以及国家法律法规规定需要对外披露基金净值的非交易日。</w:t>
      </w:r>
    </w:p>
    <w:p>
      <w:pPr>
        <w:spacing w:line="360" w:lineRule="auto"/>
        <w:ind w:firstLine="480" w:firstLineChars="200"/>
        <w:rPr>
          <w:sz w:val="24"/>
        </w:rPr>
      </w:pPr>
      <w:r>
        <w:rPr>
          <w:rFonts w:hint="eastAsia"/>
          <w:sz w:val="24"/>
        </w:rPr>
        <w:t>二、估值对象</w:t>
      </w:r>
    </w:p>
    <w:p>
      <w:pPr>
        <w:spacing w:line="360" w:lineRule="auto"/>
        <w:ind w:firstLine="480" w:firstLineChars="200"/>
        <w:rPr>
          <w:sz w:val="24"/>
        </w:rPr>
      </w:pPr>
      <w:r>
        <w:rPr>
          <w:rFonts w:hint="eastAsia"/>
          <w:sz w:val="24"/>
        </w:rPr>
        <w:t>基金所拥有的股票、</w:t>
      </w:r>
      <w:r>
        <w:rPr>
          <w:sz w:val="24"/>
        </w:rPr>
        <w:t>债券</w:t>
      </w:r>
      <w:r>
        <w:rPr>
          <w:rFonts w:hint="eastAsia"/>
          <w:bCs/>
          <w:sz w:val="24"/>
        </w:rPr>
        <w:t>、股指期货合约</w:t>
      </w:r>
      <w:r>
        <w:rPr>
          <w:sz w:val="24"/>
        </w:rPr>
        <w:t>和银行存款本息、应收款项、其它投资等资产及负债</w:t>
      </w:r>
      <w:r>
        <w:rPr>
          <w:rFonts w:hint="eastAsia"/>
          <w:sz w:val="24"/>
        </w:rPr>
        <w:t>。</w:t>
      </w:r>
    </w:p>
    <w:p>
      <w:pPr>
        <w:spacing w:line="360" w:lineRule="auto"/>
        <w:ind w:firstLine="480" w:firstLineChars="200"/>
        <w:rPr>
          <w:sz w:val="24"/>
        </w:rPr>
      </w:pPr>
      <w:r>
        <w:rPr>
          <w:rFonts w:hint="eastAsia"/>
          <w:sz w:val="24"/>
        </w:rPr>
        <w:t>三、估值原则</w:t>
      </w:r>
    </w:p>
    <w:p>
      <w:pPr>
        <w:spacing w:line="360" w:lineRule="auto"/>
        <w:ind w:firstLine="480" w:firstLineChars="200"/>
        <w:rPr>
          <w:sz w:val="24"/>
        </w:rPr>
      </w:pPr>
      <w:r>
        <w:rPr>
          <w:sz w:val="24"/>
        </w:rPr>
        <w:t>基金管理人在确定相关金融资产和金融负债的公允价值时，应符合《企业会计准则》、监管部门有关规定。</w:t>
      </w:r>
    </w:p>
    <w:p>
      <w:pPr>
        <w:spacing w:line="360" w:lineRule="auto"/>
        <w:ind w:firstLine="480" w:firstLineChars="200"/>
        <w:rPr>
          <w:sz w:val="24"/>
        </w:rPr>
      </w:pPr>
      <w:r>
        <w:rPr>
          <w:rFonts w:hint="eastAsia"/>
          <w:sz w:val="24"/>
        </w:rPr>
        <w:t>（一）</w:t>
      </w:r>
      <w:r>
        <w:rPr>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sz w:val="24"/>
        </w:rPr>
      </w:pPr>
      <w:r>
        <w:rPr>
          <w:sz w:val="24"/>
        </w:rPr>
        <w:t>与上述投资品种</w:t>
      </w:r>
      <w:r>
        <w:rPr>
          <w:rFonts w:hint="eastAsia"/>
          <w:sz w:val="24"/>
        </w:rPr>
        <w:t>相</w:t>
      </w:r>
      <w:r>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sz w:val="24"/>
        </w:rPr>
      </w:pPr>
      <w:r>
        <w:rPr>
          <w:rFonts w:hint="eastAsia"/>
          <w:sz w:val="24"/>
        </w:rPr>
        <w:t>（二）</w:t>
      </w:r>
      <w:r>
        <w:rPr>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sz w:val="24"/>
        </w:rPr>
      </w:pPr>
      <w:r>
        <w:rPr>
          <w:rFonts w:hint="eastAsia"/>
          <w:sz w:val="24"/>
        </w:rPr>
        <w:t>（三）</w:t>
      </w:r>
      <w:r>
        <w:rPr>
          <w:sz w:val="24"/>
        </w:rPr>
        <w:t>如经济环境发生重大变化或证券发行人发生影响证券价格的重大事件，使潜在估值调整对前一估值日的基金资产净值的影响在0.25%以上的，应对估值进行调整并确定公允价值。</w:t>
      </w:r>
    </w:p>
    <w:bookmarkEnd w:id="319"/>
    <w:bookmarkEnd w:id="320"/>
    <w:p>
      <w:pPr>
        <w:spacing w:line="360" w:lineRule="auto"/>
        <w:ind w:firstLine="480" w:firstLineChars="200"/>
        <w:rPr>
          <w:bCs/>
          <w:sz w:val="24"/>
        </w:rPr>
      </w:pPr>
      <w:bookmarkStart w:id="321" w:name="_Toc141703895"/>
      <w:bookmarkStart w:id="322" w:name="_Toc32046"/>
      <w:bookmarkStart w:id="323" w:name="_Toc139991745"/>
      <w:r>
        <w:rPr>
          <w:rFonts w:hint="eastAsia"/>
          <w:bCs/>
          <w:sz w:val="24"/>
        </w:rPr>
        <w:t>四</w:t>
      </w:r>
      <w:r>
        <w:rPr>
          <w:bCs/>
          <w:sz w:val="24"/>
        </w:rPr>
        <w:t>、估值方法</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本基金所持有的投资品种，按如下原则进行估值：</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rPr>
      </w:pPr>
      <w:r>
        <w:rPr>
          <w:bCs/>
          <w:sz w:val="24"/>
        </w:rPr>
        <w:t>（1）交易所上市的有价证券（包括股票等），以其估值日在证券交易所挂牌的市价（收盘价）估值；估值日无交易的，且最近交易日后经济环境未发生重大变化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bCs/>
          <w:sz w:val="24"/>
        </w:rPr>
        <w:t>（2）</w:t>
      </w:r>
      <w:r>
        <w:rPr>
          <w:rFonts w:hint="eastAsia"/>
          <w:bCs/>
          <w:sz w:val="24"/>
        </w:rPr>
        <w:t>在交易所市场上市交易或挂牌转让的固定收益品种（另有规定的除外），选取第三方估值机构提供的相应品种当日的估值净价估值</w:t>
      </w:r>
      <w:r>
        <w:rPr>
          <w:bCs/>
          <w:sz w:val="24"/>
        </w:rPr>
        <w:t>。</w:t>
      </w:r>
    </w:p>
    <w:p>
      <w:pPr>
        <w:spacing w:line="360" w:lineRule="auto"/>
        <w:ind w:firstLine="480" w:firstLineChars="200"/>
        <w:rPr>
          <w:bCs/>
          <w:sz w:val="24"/>
        </w:rPr>
      </w:pPr>
      <w:r>
        <w:rPr>
          <w:bCs/>
          <w:sz w:val="24"/>
        </w:rPr>
        <w:t>（3）</w:t>
      </w:r>
      <w:r>
        <w:rPr>
          <w:rFonts w:hint="eastAsia"/>
          <w:bCs/>
          <w:sz w:val="24"/>
        </w:rPr>
        <w:t>对在交易所市场上市交易的可转换债券，按照每日收盘价作为估值全价。</w:t>
      </w:r>
    </w:p>
    <w:p>
      <w:pPr>
        <w:spacing w:line="360" w:lineRule="auto"/>
        <w:ind w:firstLine="480" w:firstLineChars="200"/>
        <w:rPr>
          <w:bCs/>
          <w:sz w:val="24"/>
        </w:rPr>
      </w:pPr>
      <w:r>
        <w:rPr>
          <w:bCs/>
          <w:sz w:val="24"/>
        </w:rPr>
        <w:t>（4）</w:t>
      </w:r>
      <w:r>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r>
        <w:rPr>
          <w:bCs/>
          <w:sz w:val="24"/>
        </w:rPr>
        <w:t>。</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r>
        <w:rPr>
          <w:rFonts w:hint="eastAsia"/>
          <w:bCs/>
          <w:sz w:val="24"/>
        </w:rPr>
        <w:t>；</w:t>
      </w:r>
    </w:p>
    <w:p>
      <w:pPr>
        <w:spacing w:line="360" w:lineRule="auto"/>
        <w:ind w:firstLine="480" w:firstLineChars="200"/>
        <w:rPr>
          <w:bCs/>
          <w:sz w:val="24"/>
        </w:rPr>
      </w:pPr>
      <w:r>
        <w:rPr>
          <w:bCs/>
          <w:sz w:val="24"/>
        </w:rPr>
        <w:t>（2）首次公开发行未上市的股票、债券，采用估值技术确定公允价值，在估值技术难以可靠计量公允价值的情况下，按成本估值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pPr>
        <w:spacing w:line="360" w:lineRule="auto"/>
        <w:ind w:firstLine="480" w:firstLineChars="200"/>
        <w:rPr>
          <w:bCs/>
          <w:sz w:val="24"/>
        </w:rPr>
      </w:pPr>
      <w:r>
        <w:rPr>
          <w:bCs/>
          <w:sz w:val="24"/>
        </w:rPr>
        <w:t>（4）</w:t>
      </w:r>
      <w:r>
        <w:rPr>
          <w:rFonts w:hint="eastAsia"/>
          <w:bCs/>
          <w:sz w:val="24"/>
        </w:rPr>
        <w:t>在发行时明确一定期限限售期的股票，包括但不限于非</w:t>
      </w:r>
      <w:r>
        <w:rPr>
          <w:bCs/>
          <w:sz w:val="24"/>
        </w:rPr>
        <w:t>公开发行股票</w:t>
      </w:r>
      <w:r>
        <w:rPr>
          <w:rFonts w:hint="eastAsia"/>
          <w:bCs/>
          <w:sz w:val="24"/>
        </w:rPr>
        <w:t>、</w:t>
      </w:r>
      <w:r>
        <w:rPr>
          <w:bCs/>
          <w:sz w:val="24"/>
        </w:rPr>
        <w:t>首次公开发行股票</w:t>
      </w:r>
      <w:r>
        <w:rPr>
          <w:rFonts w:hint="eastAsia"/>
          <w:bCs/>
          <w:sz w:val="24"/>
        </w:rPr>
        <w:t>时公司股东公开发售股份、通过大宗交易取得的带限售</w:t>
      </w:r>
      <w:r>
        <w:rPr>
          <w:bCs/>
          <w:sz w:val="24"/>
        </w:rPr>
        <w:t>期的股票</w:t>
      </w:r>
      <w:r>
        <w:rPr>
          <w:rFonts w:hint="eastAsia"/>
          <w:bCs/>
          <w:sz w:val="24"/>
        </w:rPr>
        <w:t>等（不包括停牌、新发行未上市、回购交易中的质押券等流通受限股票），</w:t>
      </w:r>
      <w:r>
        <w:rPr>
          <w:bCs/>
          <w:sz w:val="24"/>
        </w:rPr>
        <w:t>按监管机构或行业协会有关规定确定公允价值。</w:t>
      </w:r>
    </w:p>
    <w:p>
      <w:pPr>
        <w:adjustRightInd w:val="0"/>
        <w:snapToGrid w:val="0"/>
        <w:spacing w:line="360" w:lineRule="auto"/>
        <w:ind w:firstLine="480" w:firstLineChars="200"/>
        <w:rPr>
          <w:sz w:val="24"/>
        </w:rPr>
      </w:pPr>
      <w:r>
        <w:rPr>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rPr>
      </w:pPr>
      <w:r>
        <w:rPr>
          <w:bCs/>
          <w:sz w:val="24"/>
        </w:rPr>
        <w:t>4、</w:t>
      </w:r>
      <w:r>
        <w:rPr>
          <w:sz w:val="24"/>
        </w:rPr>
        <w:t>存款的估值方法</w:t>
      </w:r>
    </w:p>
    <w:p>
      <w:pPr>
        <w:adjustRightInd w:val="0"/>
        <w:snapToGrid w:val="0"/>
        <w:spacing w:line="360" w:lineRule="auto"/>
        <w:ind w:firstLine="480" w:firstLineChars="200"/>
        <w:rPr>
          <w:sz w:val="24"/>
        </w:rPr>
      </w:pPr>
      <w:r>
        <w:rPr>
          <w:sz w:val="24"/>
        </w:rPr>
        <w:t>持有的银行定期存款或通知存款以本金列示，按协议或合同利率逐日确认利息收入。</w:t>
      </w:r>
    </w:p>
    <w:p>
      <w:pPr>
        <w:spacing w:line="360" w:lineRule="auto"/>
        <w:ind w:firstLine="480" w:firstLineChars="200"/>
        <w:rPr>
          <w:bCs/>
          <w:sz w:val="24"/>
        </w:rPr>
      </w:pPr>
      <w:r>
        <w:rPr>
          <w:bCs/>
          <w:sz w:val="24"/>
        </w:rPr>
        <w:t>5、投资证券衍生品的估值方法</w:t>
      </w:r>
    </w:p>
    <w:p>
      <w:pPr>
        <w:spacing w:line="360" w:lineRule="auto"/>
        <w:ind w:firstLine="480" w:firstLineChars="200"/>
        <w:rPr>
          <w:bCs/>
          <w:sz w:val="24"/>
        </w:rPr>
      </w:pPr>
      <w:r>
        <w:rPr>
          <w:bCs/>
          <w:sz w:val="24"/>
        </w:rPr>
        <w:t>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kern w:val="0"/>
          <w:sz w:val="24"/>
          <w:szCs w:val="24"/>
        </w:rPr>
        <w:t>6</w:t>
      </w:r>
      <w:r>
        <w:rPr>
          <w:bCs/>
          <w:sz w:val="24"/>
        </w:rPr>
        <w:t>、同一证券同时在两个或两个以上市场交易的，按证券所处的市场分别估值。</w:t>
      </w:r>
    </w:p>
    <w:p>
      <w:pPr>
        <w:spacing w:line="360" w:lineRule="auto"/>
        <w:ind w:firstLine="480" w:firstLineChars="200"/>
        <w:rPr>
          <w:bCs/>
          <w:sz w:val="24"/>
        </w:rPr>
      </w:pPr>
      <w:r>
        <w:rPr>
          <w:rFonts w:hint="eastAsia"/>
          <w:bCs/>
          <w:sz w:val="24"/>
        </w:rPr>
        <w:t>7</w:t>
      </w:r>
      <w:r>
        <w:rPr>
          <w:bCs/>
          <w:sz w:val="24"/>
        </w:rPr>
        <w:t>、本基金可以采用第三方估值机构按照上述公允价值确定原则提供的估值价格数据。</w:t>
      </w:r>
    </w:p>
    <w:p>
      <w:pPr>
        <w:spacing w:line="360" w:lineRule="auto"/>
        <w:ind w:firstLine="480" w:firstLineChars="200"/>
        <w:rPr>
          <w:rFonts w:hint="eastAsia"/>
          <w:bCs/>
          <w:sz w:val="24"/>
        </w:rPr>
      </w:pPr>
      <w:r>
        <w:rPr>
          <w:rFonts w:hint="eastAsia"/>
          <w:bCs/>
          <w:sz w:val="24"/>
        </w:rPr>
        <w:t>8、本基金投资存托凭证的估值核算，依照境内上市交易的股票执行。</w:t>
      </w:r>
    </w:p>
    <w:p>
      <w:pPr>
        <w:spacing w:line="360" w:lineRule="auto"/>
        <w:ind w:firstLine="480" w:firstLineChars="200"/>
        <w:rPr>
          <w:sz w:val="24"/>
        </w:rPr>
      </w:pPr>
      <w:r>
        <w:rPr>
          <w:rFonts w:hint="eastAsia"/>
          <w:bCs/>
          <w:sz w:val="24"/>
        </w:rPr>
        <w:t>9、如有确凿证据表明按上述方法进行估值不能客观反映其公允价值的，基金管理人可根据具体情况与基金托管人商定后，按最能反映公允价值的价格估值。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10、当发生大额申购或赎回情形时，基金管理人可以采用摆动定价机制，以确保基金估值的公平性。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11</w:t>
      </w:r>
      <w:r>
        <w:rPr>
          <w:bCs/>
          <w:sz w:val="24"/>
        </w:rPr>
        <w:t>、相关法律法规以及监管部门有强制规定的，从其规定。如有新增事项，按国家最新规定估值。</w:t>
      </w:r>
    </w:p>
    <w:p>
      <w:pPr>
        <w:spacing w:line="360" w:lineRule="auto"/>
        <w:ind w:firstLine="480" w:firstLineChars="200"/>
        <w:rPr>
          <w:rStyle w:val="30"/>
          <w:bCs/>
          <w:sz w:val="24"/>
        </w:rPr>
      </w:pPr>
      <w:r>
        <w:rPr>
          <w:rStyle w:val="30"/>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w:t>
      </w:r>
      <w:r>
        <w:rPr>
          <w:rFonts w:hint="eastAsia"/>
          <w:bCs/>
          <w:sz w:val="24"/>
        </w:rPr>
        <w:t>按规定</w:t>
      </w:r>
      <w:r>
        <w:rPr>
          <w:bCs/>
          <w:sz w:val="24"/>
        </w:rPr>
        <w:t>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1、各类基金份额净值是按照每个工作日闭市后，基金资产净值除以当日该类基金份额的余额数量计算，精确到0.00</w:t>
      </w:r>
      <w:r>
        <w:rPr>
          <w:rFonts w:hint="eastAsia"/>
          <w:bCs/>
          <w:sz w:val="24"/>
        </w:rPr>
        <w:t>0</w:t>
      </w:r>
      <w:r>
        <w:rPr>
          <w:bCs/>
          <w:sz w:val="24"/>
        </w:rPr>
        <w:t>1元，小数点后第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pPr>
        <w:spacing w:line="360" w:lineRule="auto"/>
        <w:ind w:firstLine="480" w:firstLineChars="200"/>
        <w:rPr>
          <w:bCs/>
          <w:sz w:val="24"/>
        </w:rPr>
      </w:pPr>
      <w:r>
        <w:rPr>
          <w:rFonts w:hint="eastAsia"/>
          <w:bCs/>
          <w:sz w:val="24"/>
        </w:rPr>
        <w:t>基金管理人于</w:t>
      </w:r>
      <w:r>
        <w:rPr>
          <w:bCs/>
          <w:sz w:val="24"/>
        </w:rPr>
        <w:t>每个工作日计算基金资产净值及各类基金份额净值，并按规定公告。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sz w:val="24"/>
        </w:rPr>
        <w:t>按照基金合同规定</w:t>
      </w:r>
      <w:r>
        <w:rPr>
          <w:bCs/>
          <w:sz w:val="24"/>
        </w:rPr>
        <w:t>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rFonts w:hint="eastAsia"/>
          <w:bCs/>
          <w:sz w:val="24"/>
        </w:rPr>
        <w:t>，</w:t>
      </w:r>
      <w:r>
        <w:rPr>
          <w:bCs/>
          <w:sz w:val="24"/>
        </w:rPr>
        <w:t>并报中国证监会备案。</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sz w:val="24"/>
        </w:rPr>
      </w:pPr>
      <w:r>
        <w:rPr>
          <w:rFonts w:hint="eastAsia"/>
          <w:bCs/>
          <w:sz w:val="24"/>
        </w:rPr>
        <w:t>3、当前一估值日基金资产净值50%以上的资产出现无可参考的活跃市场价格且采用估值技术仍导致公允价值存在重大不确定性时，经与基金托管人协商确认后，基金管理人应当暂停估值；</w:t>
      </w:r>
    </w:p>
    <w:p>
      <w:pPr>
        <w:spacing w:line="360" w:lineRule="auto"/>
        <w:ind w:firstLine="480" w:firstLineChars="200"/>
        <w:rPr>
          <w:bCs/>
          <w:sz w:val="24"/>
        </w:rPr>
      </w:pPr>
      <w:r>
        <w:rPr>
          <w:rFonts w:hint="eastAsia"/>
          <w:bCs/>
          <w:sz w:val="24"/>
        </w:rPr>
        <w:t>4</w:t>
      </w:r>
      <w:r>
        <w:rPr>
          <w:bCs/>
          <w:sz w:val="24"/>
        </w:rPr>
        <w:t>、中国证监会和基金合同认定的其它情形。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pPr>
        <w:spacing w:line="360" w:lineRule="auto"/>
        <w:ind w:firstLine="480" w:firstLineChars="200"/>
        <w:rPr>
          <w:bCs/>
          <w:sz w:val="24"/>
        </w:rPr>
      </w:pPr>
      <w:r>
        <w:rPr>
          <w:rFonts w:hint="eastAsia"/>
          <w:bCs/>
          <w:sz w:val="24"/>
        </w:rPr>
        <w:t>九</w:t>
      </w:r>
      <w:r>
        <w:rPr>
          <w:bCs/>
          <w:sz w:val="24"/>
        </w:rPr>
        <w:t>、特殊情况的处理</w:t>
      </w:r>
    </w:p>
    <w:p>
      <w:pPr>
        <w:spacing w:line="360" w:lineRule="auto"/>
        <w:ind w:firstLine="480" w:firstLineChars="200"/>
        <w:rPr>
          <w:bCs/>
          <w:sz w:val="24"/>
        </w:rPr>
      </w:pPr>
      <w:r>
        <w:rPr>
          <w:bCs/>
          <w:sz w:val="24"/>
        </w:rPr>
        <w:t>1、基金管理人或基金托管人按估值方法的第</w:t>
      </w:r>
      <w:r>
        <w:rPr>
          <w:rFonts w:hint="eastAsia"/>
          <w:bCs/>
          <w:sz w:val="24"/>
        </w:rPr>
        <w:t>9</w:t>
      </w:r>
      <w:r>
        <w:rPr>
          <w:bCs/>
          <w:sz w:val="24"/>
        </w:rPr>
        <w:t>项进行估值时，所造成的误差不作为基金资产估值错误处理。</w:t>
      </w:r>
    </w:p>
    <w:p>
      <w:pPr>
        <w:spacing w:line="360" w:lineRule="auto"/>
        <w:ind w:firstLine="480" w:firstLineChars="200"/>
        <w:rPr>
          <w:bCs/>
          <w:sz w:val="24"/>
        </w:rPr>
      </w:pPr>
      <w:r>
        <w:rPr>
          <w:bCs/>
          <w:sz w:val="24"/>
        </w:rPr>
        <w:t>2、由于不可抗力原因，或由于证券</w:t>
      </w:r>
      <w:r>
        <w:rPr>
          <w:rFonts w:hint="eastAsia"/>
          <w:bCs/>
          <w:sz w:val="24"/>
        </w:rPr>
        <w:t>、期货</w:t>
      </w:r>
      <w:r>
        <w:rPr>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应当积极采取必要的措施减轻或消除由此造成的影响。</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sz w:val="30"/>
        </w:rPr>
        <w:br w:type="page"/>
      </w:r>
      <w:bookmarkStart w:id="324" w:name="_Toc32227"/>
      <w:bookmarkStart w:id="325" w:name="_Toc20237414"/>
      <w:bookmarkStart w:id="326" w:name="_Toc32041"/>
      <w:bookmarkStart w:id="327" w:name="_Toc13987"/>
      <w:bookmarkStart w:id="328" w:name="_Toc19752"/>
      <w:bookmarkStart w:id="329" w:name="_Toc15779"/>
      <w:bookmarkStart w:id="330" w:name="_Toc12105"/>
      <w:bookmarkStart w:id="331" w:name="_Toc19706"/>
      <w:bookmarkStart w:id="332" w:name="_Toc481653686"/>
      <w:bookmarkStart w:id="333" w:name="_Toc3365"/>
      <w:bookmarkStart w:id="334" w:name="_Toc24601"/>
      <w:r>
        <w:rPr>
          <w:rFonts w:ascii="Times New Roman"/>
          <w:color w:val="auto"/>
          <w:sz w:val="30"/>
        </w:rPr>
        <w:t>第十</w:t>
      </w:r>
      <w:r>
        <w:rPr>
          <w:rFonts w:hint="eastAsia" w:ascii="Times New Roman"/>
          <w:color w:val="auto"/>
          <w:sz w:val="30"/>
        </w:rPr>
        <w:t>五</w:t>
      </w:r>
      <w:r>
        <w:rPr>
          <w:rFonts w:ascii="Times New Roman"/>
          <w:color w:val="auto"/>
          <w:sz w:val="30"/>
        </w:rPr>
        <w:t>部分</w:t>
      </w:r>
      <w:r>
        <w:rPr>
          <w:rFonts w:hint="eastAsia" w:ascii="Times New Roman"/>
          <w:color w:val="auto"/>
          <w:sz w:val="30"/>
        </w:rPr>
        <w:t xml:space="preserve"> </w:t>
      </w:r>
      <w:r>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3、C类基金份额的基金销售服务费；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bCs/>
          <w:sz w:val="24"/>
        </w:rPr>
      </w:pPr>
      <w:r>
        <w:rPr>
          <w:rFonts w:hint="eastAsia"/>
          <w:bCs/>
          <w:sz w:val="24"/>
        </w:rPr>
        <w:t>9</w:t>
      </w:r>
      <w:r>
        <w:rPr>
          <w:bCs/>
          <w:sz w:val="24"/>
        </w:rPr>
        <w:t>、基金的</w:t>
      </w:r>
      <w:r>
        <w:rPr>
          <w:rFonts w:hint="eastAsia"/>
          <w:bCs/>
          <w:sz w:val="24"/>
        </w:rPr>
        <w:t>账户</w:t>
      </w:r>
      <w:r>
        <w:rPr>
          <w:bCs/>
          <w:sz w:val="24"/>
        </w:rPr>
        <w:t>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0.80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0.80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w:t>
      </w:r>
      <w:r>
        <w:rPr>
          <w:rFonts w:hint="eastAsia"/>
          <w:bCs/>
          <w:sz w:val="24"/>
        </w:rPr>
        <w:t>、基金托管人的托管费</w:t>
      </w:r>
    </w:p>
    <w:p>
      <w:pPr>
        <w:spacing w:line="360" w:lineRule="auto"/>
        <w:ind w:firstLine="480" w:firstLineChars="200"/>
        <w:rPr>
          <w:bCs/>
          <w:sz w:val="24"/>
        </w:rPr>
      </w:pPr>
      <w:r>
        <w:rPr>
          <w:bCs/>
          <w:sz w:val="24"/>
        </w:rPr>
        <w:t>本基金的托管费按前一日基金资产净值的0.</w:t>
      </w:r>
      <w:r>
        <w:rPr>
          <w:rFonts w:hint="eastAsia"/>
          <w:bCs/>
          <w:sz w:val="24"/>
        </w:rPr>
        <w:t>20</w:t>
      </w:r>
      <w:r>
        <w:rPr>
          <w:bCs/>
          <w:sz w:val="24"/>
        </w:rPr>
        <w:t>%的年费率计提。托管费的计算方法如下：</w:t>
      </w:r>
    </w:p>
    <w:p>
      <w:pPr>
        <w:spacing w:line="360" w:lineRule="auto"/>
        <w:ind w:firstLine="480" w:firstLineChars="200"/>
        <w:rPr>
          <w:bCs/>
          <w:sz w:val="24"/>
        </w:rPr>
      </w:pPr>
      <w:r>
        <w:rPr>
          <w:bCs/>
          <w:sz w:val="24"/>
        </w:rPr>
        <w:t>H＝E×0.</w:t>
      </w:r>
      <w:r>
        <w:rPr>
          <w:rFonts w:hint="eastAsia"/>
          <w:bCs/>
          <w:sz w:val="24"/>
        </w:rPr>
        <w:t>20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本基金A类基金份额不收取销售服务费，C类基金份额的销售服务费年费率为0.60%。销售服务费计提的计算公式如下：</w:t>
      </w:r>
    </w:p>
    <w:p>
      <w:pPr>
        <w:spacing w:line="360" w:lineRule="auto"/>
        <w:ind w:firstLine="480" w:firstLineChars="200"/>
        <w:rPr>
          <w:bCs/>
          <w:sz w:val="24"/>
        </w:rPr>
      </w:pPr>
      <w:r>
        <w:rPr>
          <w:bCs/>
          <w:sz w:val="24"/>
        </w:rPr>
        <w:t>H</w:t>
      </w:r>
      <w:r>
        <w:rPr>
          <w:rFonts w:hint="eastAsia"/>
          <w:bCs/>
          <w:sz w:val="24"/>
        </w:rPr>
        <w:t>＝</w:t>
      </w:r>
      <w:r>
        <w:rPr>
          <w:bCs/>
          <w:sz w:val="24"/>
        </w:rPr>
        <w:t>E×0.</w:t>
      </w:r>
      <w:r>
        <w:rPr>
          <w:rFonts w:hint="eastAsia"/>
          <w:bCs/>
          <w:sz w:val="24"/>
        </w:rPr>
        <w:t>6</w:t>
      </w:r>
      <w:r>
        <w:rPr>
          <w:bCs/>
          <w:sz w:val="24"/>
        </w:rPr>
        <w:t>0%÷</w:t>
      </w:r>
      <w:r>
        <w:rPr>
          <w:rFonts w:hint="eastAsia"/>
          <w:bCs/>
          <w:sz w:val="24"/>
        </w:rPr>
        <w:t>当年天数</w:t>
      </w:r>
    </w:p>
    <w:p>
      <w:pPr>
        <w:spacing w:line="360" w:lineRule="auto"/>
        <w:ind w:firstLine="480" w:firstLineChars="200"/>
        <w:rPr>
          <w:bCs/>
          <w:sz w:val="24"/>
        </w:rPr>
      </w:pPr>
      <w:r>
        <w:rPr>
          <w:bCs/>
          <w:sz w:val="24"/>
        </w:rPr>
        <w:t>H</w:t>
      </w:r>
      <w:r>
        <w:rPr>
          <w:rFonts w:hint="eastAsia"/>
          <w:bCs/>
          <w:sz w:val="24"/>
        </w:rPr>
        <w:t>为C类基金份额每日应计提的销售服务费</w:t>
      </w:r>
    </w:p>
    <w:p>
      <w:pPr>
        <w:spacing w:line="360" w:lineRule="auto"/>
        <w:ind w:firstLine="480" w:firstLineChars="200"/>
        <w:rPr>
          <w:bCs/>
          <w:sz w:val="24"/>
        </w:rPr>
      </w:pPr>
      <w:r>
        <w:rPr>
          <w:bCs/>
          <w:sz w:val="24"/>
        </w:rPr>
        <w:t>E</w:t>
      </w:r>
      <w:r>
        <w:rPr>
          <w:rFonts w:hint="eastAsia"/>
          <w:bCs/>
          <w:sz w:val="24"/>
        </w:rPr>
        <w:t>为C类基金份额前一日的基金资产净值</w:t>
      </w:r>
    </w:p>
    <w:p>
      <w:pPr>
        <w:spacing w:line="360" w:lineRule="auto"/>
        <w:ind w:firstLine="480" w:firstLineChars="200"/>
        <w:rPr>
          <w:bCs/>
          <w:sz w:val="24"/>
        </w:rPr>
      </w:pPr>
      <w:r>
        <w:rPr>
          <w:rFonts w:hint="eastAsia"/>
          <w:bCs/>
          <w:sz w:val="24"/>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5" w:name="_Hlt88827255"/>
      <w:bookmarkEnd w:id="335"/>
    </w:p>
    <w:p>
      <w:pPr>
        <w:spacing w:line="360" w:lineRule="auto"/>
        <w:ind w:firstLine="480" w:firstLineChars="200"/>
        <w:rPr>
          <w:bCs/>
          <w:sz w:val="24"/>
        </w:rPr>
      </w:pPr>
      <w:r>
        <w:rPr>
          <w:rFonts w:hint="eastAsia"/>
          <w:bCs/>
          <w:sz w:val="24"/>
        </w:rPr>
        <w:t>四</w:t>
      </w:r>
      <w:r>
        <w:rPr>
          <w:bCs/>
          <w:sz w:val="24"/>
        </w:rPr>
        <w:t>、基金税收</w:t>
      </w:r>
    </w:p>
    <w:p>
      <w:pPr>
        <w:spacing w:line="360" w:lineRule="auto"/>
        <w:ind w:firstLine="480" w:firstLineChars="200"/>
        <w:rPr>
          <w:bCs/>
          <w:sz w:val="24"/>
        </w:rPr>
      </w:pPr>
      <w:r>
        <w:rPr>
          <w:rFonts w:hint="eastAsia"/>
          <w:bCs/>
          <w:sz w:val="24"/>
        </w:rPr>
        <w:t>本基金支付给基金管理人、基金托管人的各项费用均为含税价格，具体税率适用中国税务主管机关的规定。</w:t>
      </w:r>
    </w:p>
    <w:p>
      <w:pPr>
        <w:spacing w:line="360" w:lineRule="auto"/>
        <w:ind w:firstLine="480" w:firstLineChars="200"/>
        <w:rPr>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pStyle w:val="2"/>
        <w:spacing w:before="0" w:after="0"/>
        <w:jc w:val="center"/>
        <w:rPr>
          <w:rFonts w:ascii="Times New Roman"/>
          <w:color w:val="auto"/>
          <w:sz w:val="30"/>
        </w:rPr>
      </w:pPr>
      <w:bookmarkStart w:id="336" w:name="_Toc93226149"/>
      <w:bookmarkStart w:id="337" w:name="_Toc92662707"/>
      <w:bookmarkStart w:id="338" w:name="_Toc128310499"/>
      <w:bookmarkStart w:id="339" w:name="_Toc22552"/>
      <w:bookmarkStart w:id="340" w:name="_Toc139991746"/>
      <w:bookmarkStart w:id="341" w:name="_Toc141703896"/>
      <w:r>
        <w:rPr>
          <w:rFonts w:ascii="Times New Roman"/>
          <w:b w:val="0"/>
          <w:bCs/>
          <w:color w:val="auto"/>
          <w:sz w:val="30"/>
        </w:rPr>
        <w:br w:type="page"/>
      </w:r>
      <w:bookmarkStart w:id="342" w:name="_Toc15525"/>
      <w:bookmarkStart w:id="343" w:name="_Toc20237415"/>
      <w:bookmarkStart w:id="344" w:name="_Toc21829"/>
      <w:bookmarkStart w:id="345" w:name="_Toc178"/>
      <w:bookmarkStart w:id="346" w:name="_Toc25883"/>
      <w:bookmarkStart w:id="347" w:name="_Toc12761"/>
      <w:bookmarkStart w:id="348" w:name="_Toc1617"/>
      <w:bookmarkStart w:id="349" w:name="_Toc20052"/>
      <w:bookmarkStart w:id="350" w:name="_Toc3656"/>
      <w:bookmarkStart w:id="351" w:name="_Toc481653687"/>
      <w:bookmarkStart w:id="352" w:name="_Toc19558"/>
      <w:r>
        <w:rPr>
          <w:rFonts w:ascii="Times New Roman"/>
          <w:color w:val="auto"/>
          <w:sz w:val="30"/>
        </w:rPr>
        <w:t>第十</w:t>
      </w:r>
      <w:r>
        <w:rPr>
          <w:rFonts w:hint="eastAsia" w:ascii="Times New Roman"/>
          <w:color w:val="auto"/>
          <w:sz w:val="30"/>
        </w:rPr>
        <w:t>六</w:t>
      </w:r>
      <w:r>
        <w:rPr>
          <w:rFonts w:ascii="Times New Roman"/>
          <w:color w:val="auto"/>
          <w:sz w:val="30"/>
        </w:rPr>
        <w:t>部分</w:t>
      </w:r>
      <w:r>
        <w:rPr>
          <w:rFonts w:hint="eastAsia"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rPr>
          <w:bCs/>
        </w:rPr>
      </w:pPr>
    </w:p>
    <w:p>
      <w:pPr>
        <w:spacing w:line="360" w:lineRule="auto"/>
        <w:ind w:firstLine="480" w:firstLineChars="200"/>
        <w:rPr>
          <w:bCs/>
          <w:sz w:val="24"/>
        </w:rPr>
      </w:pPr>
      <w:r>
        <w:rPr>
          <w:bCs/>
          <w:sz w:val="24"/>
        </w:rPr>
        <w:t>一、基金利润的构成</w:t>
      </w:r>
    </w:p>
    <w:p>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480" w:firstLineChars="200"/>
        <w:rPr>
          <w:bCs/>
          <w:sz w:val="24"/>
        </w:rPr>
      </w:pPr>
      <w:r>
        <w:rPr>
          <w:bCs/>
          <w:sz w:val="24"/>
        </w:rPr>
        <w:t>二、基金可供分配利润</w:t>
      </w:r>
    </w:p>
    <w:p>
      <w:pPr>
        <w:spacing w:line="360" w:lineRule="auto"/>
        <w:ind w:firstLine="480" w:firstLineChars="200"/>
        <w:rPr>
          <w:bCs/>
          <w:sz w:val="24"/>
        </w:rPr>
      </w:pPr>
      <w:r>
        <w:rPr>
          <w:bCs/>
          <w:sz w:val="24"/>
        </w:rPr>
        <w:t>基金可供分配利润指截至收益分配基准日基金未分配利润与未分配利润中已实现收益的孰低数。</w:t>
      </w:r>
    </w:p>
    <w:p>
      <w:pPr>
        <w:spacing w:line="360" w:lineRule="auto"/>
        <w:ind w:firstLine="480" w:firstLineChars="200"/>
        <w:rPr>
          <w:bCs/>
          <w:sz w:val="24"/>
        </w:rPr>
      </w:pPr>
      <w:r>
        <w:rPr>
          <w:bCs/>
          <w:sz w:val="24"/>
        </w:rPr>
        <w:t>三、基金收益分配原则</w:t>
      </w:r>
    </w:p>
    <w:p>
      <w:pPr>
        <w:spacing w:line="360" w:lineRule="auto"/>
        <w:ind w:firstLine="480" w:firstLineChars="200"/>
        <w:rPr>
          <w:bCs/>
          <w:sz w:val="24"/>
        </w:rPr>
      </w:pPr>
      <w:r>
        <w:rPr>
          <w:rFonts w:hint="eastAsia"/>
          <w:bCs/>
          <w:sz w:val="24"/>
        </w:rPr>
        <w:t>1</w:t>
      </w:r>
      <w:r>
        <w:rPr>
          <w:bCs/>
          <w:sz w:val="24"/>
        </w:rPr>
        <w:t>、</w:t>
      </w:r>
      <w:r>
        <w:rPr>
          <w:rFonts w:hint="eastAsia"/>
          <w:bCs/>
          <w:sz w:val="24"/>
        </w:rPr>
        <w:t>本基金收益分配方式分两种：现金分红与红利再投资，投资者可选择现金红利或将现金红利自动转为相应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p>
    <w:p>
      <w:pPr>
        <w:spacing w:line="360" w:lineRule="auto"/>
        <w:ind w:firstLine="480" w:firstLineChars="200"/>
        <w:rPr>
          <w:bCs/>
          <w:sz w:val="24"/>
        </w:rPr>
      </w:pPr>
      <w:r>
        <w:rPr>
          <w:rFonts w:hint="eastAsia"/>
          <w:bCs/>
          <w:sz w:val="24"/>
        </w:rPr>
        <w:t>2</w:t>
      </w:r>
      <w:r>
        <w:rPr>
          <w:bCs/>
          <w:sz w:val="24"/>
        </w:rPr>
        <w:t>、基金收益分配后基金份额净值不能低于面值；即基金收益分配基准日的各类基金份额净值减去每单位该类基金份额收益分配金额后不能低于面值</w:t>
      </w:r>
      <w:r>
        <w:rPr>
          <w:rFonts w:hint="eastAsia"/>
          <w:bCs/>
          <w:sz w:val="24"/>
        </w:rPr>
        <w:t>；</w:t>
      </w:r>
    </w:p>
    <w:p>
      <w:pPr>
        <w:spacing w:line="360" w:lineRule="auto"/>
        <w:ind w:firstLine="480" w:firstLineChars="200"/>
        <w:rPr>
          <w:bCs/>
          <w:sz w:val="24"/>
        </w:rPr>
      </w:pPr>
      <w:r>
        <w:rPr>
          <w:rFonts w:hint="eastAsia"/>
          <w:bCs/>
          <w:sz w:val="24"/>
        </w:rPr>
        <w:t>3</w:t>
      </w:r>
      <w:r>
        <w:rPr>
          <w:bCs/>
          <w:sz w:val="24"/>
        </w:rPr>
        <w:t>、</w:t>
      </w:r>
      <w:r>
        <w:rPr>
          <w:rFonts w:hint="eastAsia"/>
          <w:bCs/>
          <w:sz w:val="24"/>
        </w:rPr>
        <w:t>同一类别内</w:t>
      </w:r>
      <w:r>
        <w:rPr>
          <w:bCs/>
          <w:sz w:val="24"/>
        </w:rPr>
        <w:t>每一基金份额享有同等分配权；</w:t>
      </w:r>
    </w:p>
    <w:p>
      <w:pPr>
        <w:spacing w:line="360" w:lineRule="auto"/>
        <w:ind w:firstLine="480" w:firstLineChars="200"/>
        <w:rPr>
          <w:bCs/>
          <w:sz w:val="24"/>
        </w:rPr>
      </w:pPr>
      <w:r>
        <w:rPr>
          <w:rFonts w:hint="eastAsia"/>
          <w:bCs/>
          <w:sz w:val="24"/>
        </w:rPr>
        <w:t>4</w:t>
      </w:r>
      <w:r>
        <w:rPr>
          <w:bCs/>
          <w:sz w:val="24"/>
        </w:rPr>
        <w:t>、法律法规或监管机关另有规定的，从其规定。</w:t>
      </w:r>
    </w:p>
    <w:p>
      <w:pPr>
        <w:spacing w:line="360" w:lineRule="auto"/>
        <w:ind w:firstLine="480" w:firstLineChars="200"/>
        <w:rPr>
          <w:bCs/>
          <w:sz w:val="24"/>
        </w:rPr>
      </w:pPr>
      <w:r>
        <w:rPr>
          <w:rFonts w:hint="eastAsia"/>
          <w:bCs/>
          <w:sz w:val="24"/>
        </w:rPr>
        <w:t>本基金每次收益分配比例详见届时基金管理人发布的公告。</w:t>
      </w:r>
    </w:p>
    <w:p>
      <w:pPr>
        <w:spacing w:line="360" w:lineRule="auto"/>
        <w:ind w:firstLine="480" w:firstLineChars="20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pPr>
        <w:spacing w:line="360" w:lineRule="auto"/>
        <w:ind w:firstLine="480" w:firstLineChars="200"/>
        <w:rPr>
          <w:bCs/>
          <w:sz w:val="24"/>
        </w:rPr>
      </w:pPr>
      <w:r>
        <w:rPr>
          <w:bCs/>
          <w:sz w:val="24"/>
        </w:rPr>
        <w:t>四、收益分配方案</w:t>
      </w:r>
    </w:p>
    <w:p>
      <w:pPr>
        <w:spacing w:line="360" w:lineRule="auto"/>
        <w:ind w:firstLine="480" w:firstLineChars="200"/>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Pr>
          <w:rFonts w:hint="eastAsia"/>
          <w:bCs/>
          <w:sz w:val="24"/>
        </w:rPr>
        <w:t>规定媒介</w:t>
      </w:r>
      <w:r>
        <w:rPr>
          <w:bCs/>
          <w:sz w:val="24"/>
        </w:rPr>
        <w:t>公告</w:t>
      </w:r>
      <w:r>
        <w:rPr>
          <w:rFonts w:hint="eastAsia"/>
          <w:bCs/>
          <w:sz w:val="24"/>
        </w:rPr>
        <w:t>。</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支付银行转账或其他手续费用时，基金登记机构可将基金份额持有人的现金红利自动转为相应类别的基金份额。红利再投资的计算方法，依照《业务规则》执行。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23859"/>
      <w:bookmarkStart w:id="356" w:name="_Toc31736"/>
      <w:bookmarkStart w:id="357" w:name="_Toc13255"/>
      <w:bookmarkStart w:id="358" w:name="_Toc10894"/>
      <w:bookmarkStart w:id="359" w:name="_Toc139991747"/>
      <w:bookmarkStart w:id="360" w:name="_Toc17499"/>
      <w:bookmarkStart w:id="361" w:name="_Toc20237416"/>
      <w:bookmarkStart w:id="362" w:name="_Toc18007"/>
      <w:bookmarkStart w:id="363" w:name="_Toc28961"/>
      <w:bookmarkStart w:id="364" w:name="_Toc128310500"/>
      <w:bookmarkStart w:id="365" w:name="_Toc1043"/>
      <w:bookmarkStart w:id="366" w:name="_Toc481653688"/>
      <w:bookmarkStart w:id="367" w:name="_Toc29695"/>
      <w:bookmarkStart w:id="368" w:name="_Toc21206"/>
      <w:bookmarkStart w:id="369" w:name="_Toc141703897"/>
      <w:r>
        <w:rPr>
          <w:rFonts w:ascii="Times New Roman"/>
          <w:color w:val="auto"/>
          <w:sz w:val="30"/>
        </w:rPr>
        <w:t>第十</w:t>
      </w:r>
      <w:r>
        <w:rPr>
          <w:rFonts w:hint="eastAsia" w:ascii="Times New Roman"/>
          <w:color w:val="auto"/>
          <w:sz w:val="30"/>
        </w:rPr>
        <w:t>七</w:t>
      </w:r>
      <w:r>
        <w:rPr>
          <w:rFonts w:ascii="Times New Roman"/>
          <w:color w:val="auto"/>
          <w:sz w:val="30"/>
        </w:rPr>
        <w:t>部分</w:t>
      </w:r>
      <w:r>
        <w:rPr>
          <w:rFonts w:hint="eastAsia"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70" w:name="_Hlt4221115"/>
      <w:bookmarkEnd w:id="370"/>
      <w:r>
        <w:rPr>
          <w:bCs/>
          <w:sz w:val="24"/>
        </w:rPr>
        <w:t>基金管理人认为有充足理由更换会计师事务所，须通报基金托管人。更换会计师事务所需</w:t>
      </w:r>
      <w:r>
        <w:rPr>
          <w:rFonts w:hint="eastAsia"/>
          <w:bCs/>
          <w:sz w:val="24"/>
        </w:rPr>
        <w:t>按照</w:t>
      </w:r>
      <w:r>
        <w:rPr>
          <w:bCs/>
          <w:sz w:val="24"/>
        </w:rPr>
        <w:t>《</w:t>
      </w:r>
      <w:r>
        <w:rPr>
          <w:rFonts w:hint="eastAsia"/>
          <w:bCs/>
          <w:sz w:val="24"/>
        </w:rPr>
        <w:t>信息</w:t>
      </w:r>
      <w:r>
        <w:rPr>
          <w:bCs/>
          <w:sz w:val="24"/>
        </w:rPr>
        <w:t>披露办法》</w:t>
      </w:r>
      <w:r>
        <w:rPr>
          <w:rFonts w:hint="eastAsia"/>
          <w:bCs/>
          <w:sz w:val="24"/>
        </w:rPr>
        <w:t>的</w:t>
      </w:r>
      <w:r>
        <w:rPr>
          <w:bCs/>
          <w:sz w:val="24"/>
        </w:rPr>
        <w:t>有关规定在</w:t>
      </w:r>
      <w:r>
        <w:rPr>
          <w:rFonts w:hint="eastAsia"/>
          <w:bCs/>
          <w:sz w:val="24"/>
        </w:rPr>
        <w:t>规定媒介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71" w:name="_Toc92662709"/>
      <w:bookmarkStart w:id="372" w:name="_Toc93226151"/>
      <w:bookmarkStart w:id="373" w:name="_Toc31866"/>
      <w:bookmarkStart w:id="374" w:name="_Toc3056"/>
      <w:bookmarkStart w:id="375" w:name="_Toc1173"/>
      <w:bookmarkStart w:id="376" w:name="_Toc11802"/>
      <w:bookmarkStart w:id="377" w:name="_Toc193"/>
      <w:bookmarkStart w:id="378" w:name="_Toc481653689"/>
      <w:bookmarkStart w:id="379" w:name="_Toc8512"/>
      <w:bookmarkStart w:id="380" w:name="_Toc139991748"/>
      <w:bookmarkStart w:id="381" w:name="_Toc141703898"/>
      <w:bookmarkStart w:id="382" w:name="_Toc29289"/>
      <w:bookmarkStart w:id="383" w:name="_Toc1421"/>
      <w:bookmarkStart w:id="384" w:name="_Toc128310501"/>
      <w:bookmarkStart w:id="385" w:name="_Toc20237417"/>
      <w:bookmarkStart w:id="386" w:name="_Toc12028"/>
      <w:bookmarkStart w:id="387" w:name="_Toc11049"/>
      <w:r>
        <w:rPr>
          <w:rFonts w:ascii="Times New Roman"/>
          <w:color w:val="auto"/>
          <w:sz w:val="30"/>
        </w:rPr>
        <w:t>第十</w:t>
      </w:r>
      <w:r>
        <w:rPr>
          <w:rFonts w:hint="eastAsia" w:ascii="Times New Roman"/>
          <w:color w:val="auto"/>
          <w:sz w:val="30"/>
        </w:rPr>
        <w:t>八</w:t>
      </w:r>
      <w:r>
        <w:rPr>
          <w:rFonts w:ascii="Times New Roman"/>
          <w:color w:val="auto"/>
          <w:sz w:val="30"/>
        </w:rPr>
        <w:t>部分</w:t>
      </w:r>
      <w:r>
        <w:rPr>
          <w:rFonts w:hint="eastAsia"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w:t>
      </w:r>
      <w:r>
        <w:rPr>
          <w:bCs/>
          <w:sz w:val="24"/>
        </w:rPr>
        <w:t>保护基金份额持有人利益为根本出发点，按照法律法规和中国证监会的规定披露基金信息，并保证所披露信息的真实性、准确性</w:t>
      </w:r>
      <w:r>
        <w:rPr>
          <w:rFonts w:hint="eastAsia"/>
          <w:bCs/>
          <w:sz w:val="24"/>
        </w:rPr>
        <w:t>、</w:t>
      </w:r>
      <w:r>
        <w:rPr>
          <w:bCs/>
          <w:sz w:val="24"/>
        </w:rPr>
        <w:t>完整性</w:t>
      </w:r>
      <w:r>
        <w:rPr>
          <w:rFonts w:hint="eastAsia"/>
          <w:bCs/>
          <w:sz w:val="24"/>
        </w:rPr>
        <w:t>、</w:t>
      </w:r>
      <w:r>
        <w:rPr>
          <w:bCs/>
          <w:sz w:val="24"/>
        </w:rPr>
        <w:t>及时性、简明性和</w:t>
      </w:r>
      <w:r>
        <w:rPr>
          <w:rFonts w:hint="eastAsia"/>
          <w:bCs/>
          <w:sz w:val="24"/>
        </w:rPr>
        <w:t>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中国证监会规定</w:t>
      </w:r>
      <w:r>
        <w:rPr>
          <w:rFonts w:hint="eastAsia"/>
          <w:bCs/>
          <w:sz w:val="24"/>
        </w:rPr>
        <w:t>条件</w:t>
      </w:r>
      <w:r>
        <w:rPr>
          <w:bCs/>
          <w:sz w:val="24"/>
        </w:rPr>
        <w:t>的</w:t>
      </w:r>
      <w:r>
        <w:rPr>
          <w:rFonts w:hint="eastAsia"/>
          <w:bCs/>
          <w:sz w:val="24"/>
        </w:rPr>
        <w:t>全国性报刊（以下简称“规定报刊”）及《信息披露办法》规定</w:t>
      </w:r>
      <w:r>
        <w:rPr>
          <w:bCs/>
          <w:sz w:val="24"/>
        </w:rPr>
        <w:t>互联网网站（以下简称“规定网站”）等媒介披露，并保证基金投资者能够按照《基金合同》约定的时间和方式查阅或者复制公开披露的信息资料。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w:t>
      </w:r>
      <w:r>
        <w:rPr>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w:t>
      </w:r>
      <w:r>
        <w:rPr>
          <w:bCs/>
          <w:sz w:val="24"/>
        </w:rPr>
        <w:t>招募</w:t>
      </w:r>
      <w:r>
        <w:rPr>
          <w:rFonts w:hint="eastAsia"/>
          <w:bCs/>
          <w:sz w:val="24"/>
        </w:rPr>
        <w:t>说明书</w:t>
      </w:r>
      <w:r>
        <w:rPr>
          <w:bCs/>
          <w:sz w:val="24"/>
        </w:rPr>
        <w:t>的信息发生重大变更的，基金管理人应当在三个工作日内，更新基金招募说明书并登载在</w:t>
      </w:r>
      <w:r>
        <w:rPr>
          <w:rFonts w:hint="eastAsia"/>
          <w:bCs/>
          <w:sz w:val="24"/>
        </w:rPr>
        <w:t>规定网站</w:t>
      </w:r>
      <w:r>
        <w:rPr>
          <w:bCs/>
          <w:sz w:val="24"/>
        </w:rPr>
        <w:t>上；基金招募说明书其他信息发生变更的，基金管理人至少每年更新一次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w:t>
      </w:r>
      <w:r>
        <w:rPr>
          <w:bCs/>
          <w:sz w:val="24"/>
        </w:rPr>
        <w:t>合同</w:t>
      </w:r>
      <w:r>
        <w:rPr>
          <w:rFonts w:hint="eastAsia"/>
          <w:bCs/>
          <w:sz w:val="24"/>
        </w:rPr>
        <w:t>》生效</w:t>
      </w:r>
      <w:r>
        <w:rPr>
          <w:bCs/>
          <w:sz w:val="24"/>
        </w:rPr>
        <w:t>后，基金产品资料概要的信息发生重大变更的，基金管理人应当在三个工作日内，更新基金</w:t>
      </w:r>
      <w:r>
        <w:rPr>
          <w:rFonts w:hint="eastAsia"/>
          <w:bCs/>
          <w:sz w:val="24"/>
        </w:rPr>
        <w:t>产品资料</w:t>
      </w:r>
      <w:r>
        <w:rPr>
          <w:bCs/>
          <w:sz w:val="24"/>
        </w:rPr>
        <w:t>概要，并登载在</w:t>
      </w:r>
      <w:r>
        <w:rPr>
          <w:rFonts w:hint="eastAsia"/>
          <w:bCs/>
          <w:sz w:val="24"/>
        </w:rPr>
        <w:t>规定网站及基金</w:t>
      </w:r>
      <w:r>
        <w:rPr>
          <w:bCs/>
          <w:sz w:val="24"/>
        </w:rPr>
        <w:t>销售机构网站</w:t>
      </w:r>
      <w:r>
        <w:rPr>
          <w:rFonts w:hint="eastAsia"/>
          <w:bCs/>
          <w:sz w:val="24"/>
        </w:rPr>
        <w:t>或</w:t>
      </w:r>
      <w:r>
        <w:rPr>
          <w:bCs/>
          <w:sz w:val="24"/>
        </w:rPr>
        <w:t>营业网点；基金</w:t>
      </w:r>
      <w:r>
        <w:rPr>
          <w:rFonts w:hint="eastAsia"/>
          <w:bCs/>
          <w:sz w:val="24"/>
        </w:rPr>
        <w:t>产品资料</w:t>
      </w:r>
      <w:r>
        <w:rPr>
          <w:bCs/>
          <w:sz w:val="24"/>
        </w:rPr>
        <w:t>概要其他信息发生变更的，基金管理人至少每年更新一次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w:t>
      </w:r>
      <w:r>
        <w:rPr>
          <w:rFonts w:hint="eastAsia"/>
          <w:bCs/>
          <w:sz w:val="24"/>
        </w:rPr>
        <w:t>产品资料</w:t>
      </w:r>
      <w:r>
        <w:rPr>
          <w:bCs/>
          <w:sz w:val="24"/>
        </w:rPr>
        <w:t>概要。</w:t>
      </w:r>
    </w:p>
    <w:p>
      <w:pPr>
        <w:spacing w:line="360" w:lineRule="auto"/>
        <w:ind w:firstLine="480" w:firstLineChars="200"/>
        <w:rPr>
          <w:bCs/>
          <w:sz w:val="24"/>
        </w:rPr>
      </w:pPr>
      <w:r>
        <w:rPr>
          <w:rFonts w:hint="eastAsia"/>
          <w:bCs/>
          <w:sz w:val="24"/>
        </w:rPr>
        <w:t>基金</w:t>
      </w:r>
      <w:r>
        <w:rPr>
          <w:bCs/>
          <w:sz w:val="24"/>
        </w:rPr>
        <w:t>募集申请经中国证监会注册后，基金管理</w:t>
      </w:r>
      <w:r>
        <w:rPr>
          <w:rFonts w:hint="eastAsia"/>
          <w:bCs/>
          <w:sz w:val="24"/>
        </w:rPr>
        <w:t>人</w:t>
      </w:r>
      <w:r>
        <w:rPr>
          <w:bCs/>
          <w:sz w:val="24"/>
        </w:rPr>
        <w:t>应当在基金份额发售的三日前，将基金份额发售公告、基金招募说明书提示性公告和基金合同提示性公告</w:t>
      </w:r>
      <w:r>
        <w:rPr>
          <w:rFonts w:hint="eastAsia"/>
          <w:bCs/>
          <w:sz w:val="24"/>
        </w:rPr>
        <w:t>登载</w:t>
      </w:r>
      <w:r>
        <w:rPr>
          <w:bCs/>
          <w:sz w:val="24"/>
        </w:rPr>
        <w:t>在规定报刊上，将</w:t>
      </w:r>
      <w:r>
        <w:rPr>
          <w:rFonts w:hint="eastAsia"/>
          <w:bCs/>
          <w:sz w:val="24"/>
        </w:rPr>
        <w:t>基金</w:t>
      </w:r>
      <w:r>
        <w:rPr>
          <w:bCs/>
          <w:sz w:val="24"/>
        </w:rPr>
        <w:t>份额发售公告、基金招募说明</w:t>
      </w:r>
      <w:r>
        <w:rPr>
          <w:rFonts w:hint="eastAsia"/>
          <w:bCs/>
          <w:sz w:val="24"/>
        </w:rPr>
        <w:t>书</w:t>
      </w:r>
      <w:r>
        <w:rPr>
          <w:bCs/>
          <w:sz w:val="24"/>
        </w:rPr>
        <w:t>、基金产品资料概要、《</w:t>
      </w:r>
      <w:r>
        <w:rPr>
          <w:rFonts w:hint="eastAsia"/>
          <w:bCs/>
          <w:sz w:val="24"/>
        </w:rPr>
        <w:t>基金</w:t>
      </w:r>
      <w:r>
        <w:rPr>
          <w:bCs/>
          <w:sz w:val="24"/>
        </w:rPr>
        <w:t>合同》</w:t>
      </w:r>
      <w:r>
        <w:rPr>
          <w:rFonts w:hint="eastAsia"/>
          <w:bCs/>
          <w:sz w:val="24"/>
        </w:rPr>
        <w:t>和</w:t>
      </w:r>
      <w:r>
        <w:rPr>
          <w:bCs/>
          <w:sz w:val="24"/>
        </w:rPr>
        <w:t>基金托管协议登载在规定网站上，并将基金</w:t>
      </w:r>
      <w:r>
        <w:rPr>
          <w:rFonts w:hint="eastAsia"/>
          <w:bCs/>
          <w:sz w:val="24"/>
        </w:rPr>
        <w:t>产品</w:t>
      </w:r>
      <w:r>
        <w:rPr>
          <w:bCs/>
          <w:sz w:val="24"/>
        </w:rPr>
        <w:t>资料概要登载在基金销售机构网站或营业网点；基金托管人应当同时将基金合同、基金托管协议登载在网站上。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基金管理人应当就基金份额发售的具体事宜编制基金份额发售公告，并在披露招募说明书的当日登载于规定媒介上。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基金管理人应当在收到中国证监会确认文件的次日在规定媒介上登载《基金合同》生效公告。</w:t>
      </w:r>
    </w:p>
    <w:p>
      <w:pPr>
        <w:spacing w:line="360" w:lineRule="auto"/>
        <w:ind w:firstLine="480" w:firstLineChars="200"/>
        <w:rPr>
          <w:bCs/>
          <w:sz w:val="24"/>
        </w:rPr>
      </w:pPr>
      <w:r>
        <w:rPr>
          <w:bCs/>
          <w:sz w:val="24"/>
        </w:rPr>
        <w:t>（四）基金</w:t>
      </w:r>
      <w:r>
        <w:rPr>
          <w:rFonts w:hint="eastAsia"/>
          <w:bCs/>
          <w:sz w:val="24"/>
        </w:rPr>
        <w:t>净值信息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其</w:t>
      </w:r>
      <w:r>
        <w:rPr>
          <w:bCs/>
          <w:sz w:val="24"/>
        </w:rPr>
        <w:t>规定网站、基金销售机构网站或营业网点披露开放日的</w:t>
      </w:r>
      <w:r>
        <w:rPr>
          <w:rFonts w:hint="eastAsia"/>
          <w:bCs/>
          <w:sz w:val="24"/>
        </w:rPr>
        <w:t>各类</w:t>
      </w:r>
      <w:r>
        <w:rPr>
          <w:bCs/>
          <w:sz w:val="24"/>
        </w:rPr>
        <w:t>基金份额净值和基金份额累计净值。</w:t>
      </w:r>
    </w:p>
    <w:p>
      <w:pPr>
        <w:spacing w:line="360" w:lineRule="auto"/>
        <w:ind w:firstLine="480" w:firstLineChars="200"/>
        <w:rPr>
          <w:bCs/>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次日，在规定网站披露半年度和年度最后一日的</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pPr>
        <w:spacing w:line="360" w:lineRule="auto"/>
        <w:ind w:firstLine="480" w:firstLineChars="200"/>
        <w:rPr>
          <w:bCs/>
          <w:sz w:val="24"/>
        </w:rPr>
      </w:pPr>
      <w:r>
        <w:rPr>
          <w:bCs/>
          <w:sz w:val="24"/>
        </w:rPr>
        <w:t>（六）基金定期报告，包括基金年度报告、基金</w:t>
      </w:r>
      <w:r>
        <w:rPr>
          <w:rFonts w:hint="eastAsia"/>
          <w:bCs/>
          <w:sz w:val="24"/>
        </w:rPr>
        <w:t>中期</w:t>
      </w:r>
      <w:r>
        <w:rPr>
          <w:bCs/>
          <w:sz w:val="24"/>
        </w:rPr>
        <w:t>报告和基金季度报告</w:t>
      </w:r>
      <w:r>
        <w:rPr>
          <w:rFonts w:hint="eastAsia"/>
          <w:bCs/>
          <w:sz w:val="24"/>
        </w:rPr>
        <w:t>（含资产组合季度报告）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内，编制完成基金年度报告，将年度报告</w:t>
      </w:r>
      <w:r>
        <w:rPr>
          <w:rFonts w:hint="eastAsia"/>
          <w:bCs/>
          <w:sz w:val="24"/>
        </w:rPr>
        <w:t>登载</w:t>
      </w:r>
      <w:r>
        <w:rPr>
          <w:bCs/>
          <w:sz w:val="24"/>
        </w:rPr>
        <w:t>在规定网站上，</w:t>
      </w:r>
      <w:r>
        <w:rPr>
          <w:rFonts w:hint="eastAsia"/>
          <w:bCs/>
          <w:sz w:val="24"/>
        </w:rPr>
        <w:t>并</w:t>
      </w:r>
      <w:r>
        <w:rPr>
          <w:bCs/>
          <w:sz w:val="24"/>
        </w:rPr>
        <w:t>将年度报告提示性公告登载在规定报刊上。基金年度报告</w:t>
      </w:r>
      <w:r>
        <w:rPr>
          <w:rFonts w:hint="eastAsia"/>
          <w:bCs/>
          <w:sz w:val="24"/>
        </w:rPr>
        <w:t>中</w:t>
      </w:r>
      <w:r>
        <w:rPr>
          <w:bCs/>
          <w:sz w:val="24"/>
        </w:rPr>
        <w:t>的财务会计报告应当经过</w:t>
      </w:r>
      <w:r>
        <w:rPr>
          <w:rFonts w:hint="eastAsia"/>
          <w:bCs/>
          <w:sz w:val="24"/>
        </w:rPr>
        <w:t>符合《中华人民共和国证券法》规定</w:t>
      </w:r>
      <w:r>
        <w:rPr>
          <w:bCs/>
          <w:sz w:val="24"/>
        </w:rPr>
        <w:t>的会计师事务所审计。</w:t>
      </w:r>
    </w:p>
    <w:p>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公告登载在规定</w:t>
      </w:r>
      <w:r>
        <w:rPr>
          <w:rFonts w:hint="eastAsia"/>
          <w:bCs/>
          <w:sz w:val="24"/>
        </w:rPr>
        <w:t>报刊</w:t>
      </w:r>
      <w:r>
        <w:rPr>
          <w:bCs/>
          <w:sz w:val="24"/>
        </w:rPr>
        <w:t>上。</w:t>
      </w:r>
    </w:p>
    <w:p>
      <w:pPr>
        <w:spacing w:line="360" w:lineRule="auto"/>
        <w:ind w:firstLine="480" w:firstLineChars="200"/>
        <w:rPr>
          <w:bCs/>
          <w:sz w:val="24"/>
        </w:rPr>
      </w:pPr>
      <w:r>
        <w:rPr>
          <w:bCs/>
          <w:sz w:val="24"/>
        </w:rPr>
        <w:t>基金管理人应当在每个季度结束之日起15个工作日内，编制完成基金季度报告，</w:t>
      </w:r>
      <w:r>
        <w:rPr>
          <w:rFonts w:hint="eastAsia"/>
          <w:bCs/>
          <w:sz w:val="24"/>
        </w:rPr>
        <w:t>将</w:t>
      </w:r>
      <w:r>
        <w:rPr>
          <w:bCs/>
          <w:sz w:val="24"/>
        </w:rPr>
        <w:t>季度报告登载在规定网站上，并将季度报告</w:t>
      </w:r>
      <w:r>
        <w:rPr>
          <w:rFonts w:hint="eastAsia"/>
          <w:bCs/>
          <w:sz w:val="24"/>
        </w:rPr>
        <w:t>提示性</w:t>
      </w:r>
      <w:r>
        <w:rPr>
          <w:bCs/>
          <w:sz w:val="24"/>
        </w:rPr>
        <w:t>公告登载在规定</w:t>
      </w:r>
      <w:r>
        <w:rPr>
          <w:rFonts w:hint="eastAsia"/>
          <w:bCs/>
          <w:sz w:val="24"/>
        </w:rPr>
        <w:t>报刊</w:t>
      </w:r>
      <w:r>
        <w:rPr>
          <w:bCs/>
          <w:sz w:val="24"/>
        </w:rPr>
        <w:t>上。</w:t>
      </w:r>
    </w:p>
    <w:p>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w:t>
      </w:r>
      <w:r>
        <w:rPr>
          <w:bCs/>
          <w:sz w:val="24"/>
        </w:rPr>
        <w:t>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w:t>
      </w:r>
      <w:r>
        <w:rPr>
          <w:bCs/>
          <w:sz w:val="24"/>
        </w:rPr>
        <w:t>在规定报刊和规定网站上。</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w:t>
      </w:r>
      <w:r>
        <w:rPr>
          <w:bCs/>
          <w:sz w:val="24"/>
        </w:rPr>
        <w:t>决定的事项；</w:t>
      </w:r>
    </w:p>
    <w:p>
      <w:pPr>
        <w:spacing w:line="360" w:lineRule="auto"/>
        <w:ind w:firstLine="480" w:firstLineChars="200"/>
        <w:rPr>
          <w:bCs/>
          <w:sz w:val="24"/>
        </w:rPr>
      </w:pPr>
      <w:r>
        <w:rPr>
          <w:bCs/>
          <w:sz w:val="24"/>
        </w:rPr>
        <w:t>2、</w:t>
      </w:r>
      <w:r>
        <w:rPr>
          <w:rFonts w:hint="eastAsia"/>
          <w:bCs/>
          <w:sz w:val="24"/>
        </w:rPr>
        <w:t>《基金合同》</w:t>
      </w:r>
      <w:r>
        <w:rPr>
          <w:bCs/>
          <w:sz w:val="24"/>
        </w:rPr>
        <w:t>终止、基金清算；</w:t>
      </w:r>
    </w:p>
    <w:p>
      <w:pPr>
        <w:spacing w:line="360" w:lineRule="auto"/>
        <w:ind w:firstLine="480" w:firstLineChars="200"/>
        <w:rPr>
          <w:bCs/>
          <w:sz w:val="24"/>
        </w:rPr>
      </w:pPr>
      <w:r>
        <w:rPr>
          <w:bCs/>
          <w:sz w:val="24"/>
        </w:rPr>
        <w:t>3、转换基金运作方式</w:t>
      </w:r>
      <w:r>
        <w:rPr>
          <w:rFonts w:hint="eastAsia"/>
          <w:bCs/>
          <w:sz w:val="24"/>
        </w:rPr>
        <w:t>、</w:t>
      </w:r>
      <w:r>
        <w:rPr>
          <w:bCs/>
          <w:sz w:val="24"/>
        </w:rPr>
        <w:t>基金合并；</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6、基金管理人、基金托管人的法定名称、住所发生变更；</w:t>
      </w:r>
    </w:p>
    <w:p>
      <w:pPr>
        <w:spacing w:line="360" w:lineRule="auto"/>
        <w:ind w:firstLine="480" w:firstLineChars="200"/>
        <w:rPr>
          <w:bCs/>
          <w:sz w:val="24"/>
        </w:rPr>
      </w:pPr>
      <w:r>
        <w:rPr>
          <w:rFonts w:hint="eastAsia"/>
          <w:bCs/>
          <w:sz w:val="24"/>
        </w:rPr>
        <w:t>7、基金管理人变更持有百分之五以上股权的股东、基金管理人的实际控制人变更；</w:t>
      </w:r>
    </w:p>
    <w:p>
      <w:pPr>
        <w:spacing w:line="360" w:lineRule="auto"/>
        <w:ind w:firstLine="480" w:firstLineChars="200"/>
        <w:rPr>
          <w:bCs/>
          <w:sz w:val="24"/>
        </w:rPr>
      </w:pPr>
      <w:r>
        <w:rPr>
          <w:rFonts w:hint="eastAsia"/>
          <w:bCs/>
          <w:sz w:val="24"/>
        </w:rPr>
        <w:t>8、基金募集期延长或提前结束募集；</w:t>
      </w:r>
    </w:p>
    <w:p>
      <w:pPr>
        <w:spacing w:line="360" w:lineRule="auto"/>
        <w:ind w:firstLine="480" w:firstLineChars="200"/>
        <w:rPr>
          <w:bCs/>
          <w:sz w:val="24"/>
        </w:rPr>
      </w:pPr>
      <w:r>
        <w:rPr>
          <w:rFonts w:hint="eastAsia"/>
          <w:bCs/>
          <w:sz w:val="24"/>
        </w:rPr>
        <w:t>9、基金管理人高级管理人员、基金经理和基金托管人专门基金托管部门负责人发生变动；</w:t>
      </w:r>
    </w:p>
    <w:p>
      <w:pPr>
        <w:spacing w:line="360" w:lineRule="auto"/>
        <w:ind w:firstLine="480" w:firstLineChars="200"/>
        <w:rPr>
          <w:bCs/>
          <w:sz w:val="24"/>
        </w:rPr>
      </w:pPr>
      <w:r>
        <w:rPr>
          <w:bCs/>
          <w:sz w:val="24"/>
        </w:rPr>
        <w:t>10、基金管理人的董事在</w:t>
      </w:r>
      <w:r>
        <w:rPr>
          <w:rFonts w:hint="eastAsia"/>
          <w:bCs/>
          <w:sz w:val="24"/>
        </w:rPr>
        <w:t>最近12个月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最近12个月</w:t>
      </w:r>
      <w:r>
        <w:rPr>
          <w:bCs/>
          <w:sz w:val="24"/>
        </w:rPr>
        <w:t>内变动超过百分之三十；</w:t>
      </w:r>
    </w:p>
    <w:p>
      <w:pPr>
        <w:spacing w:line="360" w:lineRule="auto"/>
        <w:ind w:firstLine="480" w:firstLineChars="200"/>
        <w:rPr>
          <w:bCs/>
          <w:sz w:val="24"/>
        </w:rPr>
      </w:pPr>
      <w:r>
        <w:rPr>
          <w:bCs/>
          <w:sz w:val="24"/>
        </w:rPr>
        <w:t>11、涉及基金财产、</w:t>
      </w:r>
      <w:r>
        <w:rPr>
          <w:rFonts w:hint="eastAsia"/>
          <w:bCs/>
          <w:sz w:val="24"/>
        </w:rPr>
        <w:t>基金</w:t>
      </w:r>
      <w:r>
        <w:rPr>
          <w:bCs/>
          <w:sz w:val="24"/>
        </w:rPr>
        <w:t>管理业务、基金托管业务的诉讼</w:t>
      </w:r>
      <w:r>
        <w:rPr>
          <w:rFonts w:hint="eastAsia"/>
          <w:bCs/>
          <w:sz w:val="24"/>
        </w:rPr>
        <w:t>或仲裁</w:t>
      </w:r>
      <w:r>
        <w:rPr>
          <w:bCs/>
          <w:sz w:val="24"/>
        </w:rPr>
        <w:t>；</w:t>
      </w:r>
    </w:p>
    <w:p>
      <w:pPr>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bCs/>
          <w:sz w:val="24"/>
        </w:rPr>
      </w:pPr>
      <w:r>
        <w:rPr>
          <w:bCs/>
          <w:sz w:val="24"/>
        </w:rPr>
        <w:t>14、基金收益分配事项；</w:t>
      </w:r>
    </w:p>
    <w:p>
      <w:pPr>
        <w:spacing w:line="360" w:lineRule="auto"/>
        <w:ind w:firstLine="480" w:firstLineChars="200"/>
        <w:rPr>
          <w:bCs/>
          <w:sz w:val="24"/>
        </w:rPr>
      </w:pPr>
      <w:r>
        <w:rPr>
          <w:bCs/>
          <w:sz w:val="24"/>
        </w:rPr>
        <w:t>15、管理费、托管费</w:t>
      </w:r>
      <w:r>
        <w:rPr>
          <w:rFonts w:hint="eastAsia"/>
          <w:bCs/>
          <w:sz w:val="24"/>
        </w:rPr>
        <w:t>、销售服务费、</w:t>
      </w:r>
      <w:r>
        <w:rPr>
          <w:bCs/>
          <w:sz w:val="24"/>
        </w:rPr>
        <w:t>申购费、赎回费等费用计提标准、计提方式和费率发生变更；</w:t>
      </w:r>
    </w:p>
    <w:p>
      <w:pPr>
        <w:spacing w:line="360" w:lineRule="auto"/>
        <w:ind w:firstLine="480" w:firstLineChars="200"/>
        <w:rPr>
          <w:bCs/>
          <w:sz w:val="24"/>
        </w:rPr>
      </w:pPr>
      <w:r>
        <w:rPr>
          <w:bCs/>
          <w:sz w:val="24"/>
        </w:rPr>
        <w:t>16、基金份额净值计价错误达基金份额净值百分之零点五；</w:t>
      </w:r>
    </w:p>
    <w:p>
      <w:pPr>
        <w:spacing w:line="360" w:lineRule="auto"/>
        <w:ind w:firstLine="480" w:firstLineChars="200"/>
        <w:rPr>
          <w:bCs/>
          <w:sz w:val="24"/>
        </w:rPr>
      </w:pPr>
      <w:r>
        <w:rPr>
          <w:bCs/>
          <w:sz w:val="24"/>
        </w:rPr>
        <w:t>17、本基金开始办理申购、赎回；</w:t>
      </w:r>
    </w:p>
    <w:p>
      <w:pPr>
        <w:spacing w:line="360" w:lineRule="auto"/>
        <w:ind w:firstLine="480" w:firstLineChars="200"/>
        <w:rPr>
          <w:bCs/>
          <w:sz w:val="24"/>
        </w:rPr>
      </w:pPr>
      <w:r>
        <w:rPr>
          <w:bCs/>
          <w:sz w:val="24"/>
        </w:rPr>
        <w:t>18、本基金发生巨额赎回并</w:t>
      </w:r>
      <w:r>
        <w:rPr>
          <w:rFonts w:hint="eastAsia"/>
          <w:bCs/>
          <w:sz w:val="24"/>
        </w:rPr>
        <w:t>延期办理</w:t>
      </w:r>
      <w:r>
        <w:rPr>
          <w:bCs/>
          <w:sz w:val="24"/>
        </w:rPr>
        <w:t>；</w:t>
      </w:r>
    </w:p>
    <w:p>
      <w:pPr>
        <w:spacing w:line="360" w:lineRule="auto"/>
        <w:ind w:firstLine="480" w:firstLineChars="200"/>
        <w:rPr>
          <w:bCs/>
          <w:sz w:val="24"/>
        </w:rPr>
      </w:pPr>
      <w:r>
        <w:rPr>
          <w:bCs/>
          <w:sz w:val="24"/>
        </w:rPr>
        <w:t>19</w:t>
      </w:r>
      <w:r>
        <w:rPr>
          <w:rFonts w:hint="eastAsia"/>
          <w:bCs/>
          <w:sz w:val="24"/>
        </w:rPr>
        <w:t>、本基金连续发生巨额赎回并暂停接受赎回申请或延缓支付赎回款项；</w:t>
      </w:r>
    </w:p>
    <w:p>
      <w:pPr>
        <w:spacing w:line="360" w:lineRule="auto"/>
        <w:ind w:firstLine="480" w:firstLineChars="200"/>
        <w:rPr>
          <w:bCs/>
          <w:sz w:val="24"/>
        </w:rPr>
      </w:pPr>
      <w:r>
        <w:rPr>
          <w:bCs/>
          <w:sz w:val="24"/>
        </w:rPr>
        <w:t>20、本基金暂停接受申购、赎回申请</w:t>
      </w:r>
      <w:r>
        <w:rPr>
          <w:rFonts w:hint="eastAsia"/>
          <w:bCs/>
          <w:sz w:val="24"/>
        </w:rPr>
        <w:t>或</w:t>
      </w:r>
      <w:r>
        <w:rPr>
          <w:bCs/>
          <w:sz w:val="24"/>
        </w:rPr>
        <w:t>重新接受申购、赎回</w:t>
      </w:r>
      <w:r>
        <w:rPr>
          <w:rFonts w:hint="eastAsia"/>
          <w:bCs/>
          <w:sz w:val="24"/>
        </w:rPr>
        <w:t>申请</w:t>
      </w:r>
      <w:r>
        <w:rPr>
          <w:bCs/>
          <w:sz w:val="24"/>
        </w:rPr>
        <w:t>；</w:t>
      </w:r>
    </w:p>
    <w:p>
      <w:pPr>
        <w:spacing w:line="360" w:lineRule="auto"/>
        <w:ind w:firstLine="480" w:firstLineChars="200"/>
        <w:rPr>
          <w:bCs/>
          <w:sz w:val="24"/>
        </w:rPr>
      </w:pPr>
      <w:r>
        <w:rPr>
          <w:bCs/>
          <w:sz w:val="24"/>
        </w:rPr>
        <w:t>21、</w:t>
      </w:r>
      <w:r>
        <w:rPr>
          <w:rFonts w:hint="eastAsia"/>
          <w:bCs/>
          <w:sz w:val="24"/>
        </w:rPr>
        <w:t>本基金变更份额类别设置；</w:t>
      </w:r>
    </w:p>
    <w:p>
      <w:pPr>
        <w:spacing w:line="360" w:lineRule="auto"/>
        <w:ind w:firstLine="480" w:firstLineChars="200"/>
        <w:rPr>
          <w:bCs/>
          <w:sz w:val="24"/>
        </w:rPr>
      </w:pPr>
      <w:r>
        <w:rPr>
          <w:bCs/>
          <w:sz w:val="24"/>
        </w:rPr>
        <w:t>22、</w:t>
      </w:r>
      <w:r>
        <w:rPr>
          <w:rFonts w:hint="eastAsia"/>
          <w:bCs/>
          <w:sz w:val="24"/>
        </w:rPr>
        <w:t>基金推出新业务或服务；</w:t>
      </w:r>
    </w:p>
    <w:p>
      <w:pPr>
        <w:spacing w:line="360" w:lineRule="auto"/>
        <w:ind w:firstLine="480" w:firstLineChars="200"/>
        <w:rPr>
          <w:bCs/>
          <w:sz w:val="24"/>
        </w:rPr>
      </w:pPr>
      <w:r>
        <w:rPr>
          <w:rFonts w:hint="eastAsia"/>
          <w:bCs/>
          <w:sz w:val="24"/>
        </w:rPr>
        <w:t>2</w:t>
      </w:r>
      <w:r>
        <w:rPr>
          <w:bCs/>
          <w:sz w:val="24"/>
        </w:rPr>
        <w:t>3</w:t>
      </w:r>
      <w:r>
        <w:rPr>
          <w:rFonts w:hint="eastAsia"/>
          <w:bCs/>
          <w:sz w:val="24"/>
        </w:rPr>
        <w:t>、发生涉及基金申购、赎回事项调整或潜在影响投资者赎回等重大事项时；</w:t>
      </w:r>
    </w:p>
    <w:p>
      <w:pPr>
        <w:spacing w:line="360" w:lineRule="auto"/>
        <w:ind w:firstLine="480" w:firstLineChars="200"/>
        <w:rPr>
          <w:bCs/>
          <w:sz w:val="24"/>
        </w:rPr>
      </w:pPr>
      <w:r>
        <w:rPr>
          <w:rFonts w:hint="eastAsia"/>
          <w:bCs/>
          <w:sz w:val="24"/>
        </w:rPr>
        <w:t>2</w:t>
      </w:r>
      <w:r>
        <w:rPr>
          <w:bCs/>
          <w:sz w:val="24"/>
        </w:rPr>
        <w:t>4</w:t>
      </w:r>
      <w:r>
        <w:rPr>
          <w:rFonts w:hint="eastAsia"/>
          <w:bCs/>
          <w:sz w:val="24"/>
        </w:rPr>
        <w:t>、基金管理人采用摆动定价机制进行估值；</w:t>
      </w:r>
    </w:p>
    <w:p>
      <w:pPr>
        <w:spacing w:line="360" w:lineRule="auto"/>
        <w:ind w:firstLine="480" w:firstLineChars="200"/>
        <w:rPr>
          <w:bCs/>
          <w:sz w:val="24"/>
        </w:rPr>
      </w:pPr>
      <w:r>
        <w:rPr>
          <w:bCs/>
          <w:sz w:val="24"/>
        </w:rPr>
        <w:t>25、</w:t>
      </w:r>
      <w:r>
        <w:rPr>
          <w:rFonts w:hint="eastAsia"/>
          <w:bCs/>
          <w:sz w:val="24"/>
        </w:rPr>
        <w:t>基金信息披露义务人认为可能对基金份额持有人权益或者基金份额的价格产生重大影响的其他事项或</w:t>
      </w:r>
      <w:r>
        <w:rPr>
          <w:bCs/>
          <w:sz w:val="24"/>
        </w:rPr>
        <w:t>中国证监会规定</w:t>
      </w:r>
      <w:r>
        <w:rPr>
          <w:rFonts w:hint="eastAsia"/>
          <w:bCs/>
          <w:sz w:val="24"/>
        </w:rPr>
        <w:t>和基金合同约定</w:t>
      </w:r>
      <w:r>
        <w:rPr>
          <w:bCs/>
          <w:sz w:val="24"/>
        </w:rPr>
        <w:t>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w:t>
      </w:r>
      <w:r>
        <w:rPr>
          <w:rFonts w:hint="eastAsia"/>
          <w:bCs/>
          <w:sz w:val="24"/>
        </w:rPr>
        <w:t>依法报中国证监会备案</w:t>
      </w:r>
      <w:r>
        <w:rPr>
          <w:bCs/>
          <w:sz w:val="24"/>
        </w:rPr>
        <w:t>，并予以公告。</w:t>
      </w:r>
    </w:p>
    <w:p>
      <w:pPr>
        <w:spacing w:line="360" w:lineRule="auto"/>
        <w:ind w:firstLine="480" w:firstLineChars="200"/>
        <w:rPr>
          <w:bCs/>
          <w:sz w:val="24"/>
        </w:rPr>
      </w:pPr>
      <w:r>
        <w:rPr>
          <w:bCs/>
          <w:sz w:val="24"/>
        </w:rPr>
        <w:t>（十）</w:t>
      </w:r>
      <w:r>
        <w:rPr>
          <w:rFonts w:hint="eastAsia"/>
          <w:bCs/>
          <w:sz w:val="24"/>
        </w:rPr>
        <w:t>投资资产支持证券相关公告</w:t>
      </w:r>
    </w:p>
    <w:p>
      <w:pPr>
        <w:spacing w:line="360" w:lineRule="auto"/>
        <w:ind w:firstLine="480" w:firstLineChars="20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bCs/>
          <w:sz w:val="24"/>
        </w:rPr>
        <w:t>（十一）投资股指期货相关公告</w:t>
      </w:r>
    </w:p>
    <w:p>
      <w:pPr>
        <w:spacing w:line="360" w:lineRule="auto"/>
        <w:ind w:firstLine="480" w:firstLineChars="200"/>
        <w:rPr>
          <w:bCs/>
          <w:sz w:val="24"/>
        </w:rPr>
      </w:pPr>
      <w:r>
        <w:rPr>
          <w:rFonts w:hint="eastAsia"/>
          <w:bCs/>
          <w:sz w:val="24"/>
        </w:rPr>
        <w:t>基金管理人将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80" w:firstLineChars="200"/>
        <w:rPr>
          <w:bCs/>
          <w:sz w:val="24"/>
        </w:rPr>
      </w:pPr>
      <w:r>
        <w:rPr>
          <w:rFonts w:hint="eastAsia"/>
          <w:bCs/>
          <w:sz w:val="24"/>
        </w:rPr>
        <w:t>（十二）参与</w:t>
      </w:r>
      <w:r>
        <w:rPr>
          <w:bCs/>
          <w:sz w:val="24"/>
        </w:rPr>
        <w:t>融资交易</w:t>
      </w:r>
      <w:r>
        <w:rPr>
          <w:rFonts w:hint="eastAsia"/>
          <w:bCs/>
          <w:sz w:val="24"/>
        </w:rPr>
        <w:t>相关公告</w:t>
      </w:r>
    </w:p>
    <w:p>
      <w:pPr>
        <w:spacing w:line="360" w:lineRule="auto"/>
        <w:ind w:firstLine="480" w:firstLineChars="200"/>
        <w:rPr>
          <w:bCs/>
          <w:sz w:val="24"/>
        </w:rPr>
      </w:pPr>
      <w:r>
        <w:rPr>
          <w:bCs/>
          <w:sz w:val="24"/>
        </w:rPr>
        <w:t>基金</w:t>
      </w:r>
      <w:r>
        <w:rPr>
          <w:rFonts w:hint="eastAsia"/>
          <w:bCs/>
          <w:sz w:val="24"/>
        </w:rPr>
        <w:t>管理人</w:t>
      </w:r>
      <w:r>
        <w:rPr>
          <w:bCs/>
          <w:sz w:val="24"/>
        </w:rPr>
        <w:t>应当在</w:t>
      </w:r>
      <w:r>
        <w:rPr>
          <w:rFonts w:hint="eastAsia"/>
          <w:bCs/>
          <w:sz w:val="24"/>
        </w:rPr>
        <w:t>季度报告、中期报告</w:t>
      </w:r>
      <w:r>
        <w:rPr>
          <w:bCs/>
          <w:sz w:val="24"/>
        </w:rPr>
        <w:t>、年度报告等定期报告和招募说明书（更新）等文件中披露参与融资交易情况，包括投资策略、业务开展情况、损益情况、风险及其管理情况等。</w:t>
      </w:r>
    </w:p>
    <w:p>
      <w:pPr>
        <w:spacing w:line="360" w:lineRule="auto"/>
        <w:ind w:firstLine="480" w:firstLineChars="200"/>
        <w:rPr>
          <w:bCs/>
          <w:sz w:val="24"/>
        </w:rPr>
      </w:pPr>
      <w:r>
        <w:rPr>
          <w:bCs/>
          <w:sz w:val="24"/>
        </w:rPr>
        <w:t>（十</w:t>
      </w:r>
      <w:r>
        <w:rPr>
          <w:rFonts w:hint="eastAsia"/>
          <w:bCs/>
          <w:sz w:val="24"/>
        </w:rPr>
        <w:t>三</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w:t>
      </w:r>
      <w:r>
        <w:rPr>
          <w:bCs/>
          <w:sz w:val="24"/>
        </w:rPr>
        <w:t>部门及高级管理人员负责管理信息披露事务。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基金托管人应当按照相关法律法规、中国证监会的规定和《基金合同》的约定，对基金管理人编制的基金资产净值、各类基金份额净值、基金份额申购赎回价格、基金定期报告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基金产品资料概要、基金清算报告等公开披露的相关基金信息进行复核、审查，并向基金管理人</w:t>
      </w:r>
      <w:r>
        <w:rPr>
          <w:rFonts w:hint="eastAsia"/>
          <w:bCs/>
          <w:sz w:val="24"/>
        </w:rPr>
        <w:t>进行书面</w:t>
      </w:r>
      <w:r>
        <w:rPr>
          <w:bCs/>
          <w:sz w:val="24"/>
        </w:rPr>
        <w:t>或电子确认。</w:t>
      </w:r>
    </w:p>
    <w:p>
      <w:pPr>
        <w:spacing w:line="360" w:lineRule="auto"/>
        <w:ind w:firstLine="480" w:firstLineChars="200"/>
        <w:rPr>
          <w:bCs/>
          <w:sz w:val="24"/>
        </w:rPr>
      </w:pPr>
      <w:r>
        <w:rPr>
          <w:bCs/>
          <w:sz w:val="24"/>
        </w:rPr>
        <w:t>基金管理人、基金托管人应当在规定</w:t>
      </w:r>
      <w:r>
        <w:rPr>
          <w:rFonts w:hint="eastAsia"/>
          <w:bCs/>
          <w:sz w:val="24"/>
        </w:rPr>
        <w:t>报刊</w:t>
      </w:r>
      <w:r>
        <w:rPr>
          <w:bCs/>
          <w:sz w:val="24"/>
        </w:rPr>
        <w:t>中选择一家报刊披露本基金信息。基金</w:t>
      </w:r>
      <w:r>
        <w:rPr>
          <w:rFonts w:hint="eastAsia"/>
          <w:bCs/>
          <w:sz w:val="24"/>
        </w:rPr>
        <w:t>管理人</w:t>
      </w:r>
      <w:r>
        <w:rPr>
          <w:bCs/>
          <w:sz w:val="24"/>
        </w:rPr>
        <w:t>、基金托管人应当向中国证监会基金电子披露网站报送拟披露的基金信息，并保证相关报送信息的真实、准确、完整、及时。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依法必须披露的信息发布后，基金管理人、基金托管人应当按照相关法律法规规定将信息置备于公司住所，供社会公众查阅、复制。</w:t>
      </w:r>
    </w:p>
    <w:p>
      <w:pPr>
        <w:spacing w:line="360" w:lineRule="auto"/>
        <w:ind w:firstLine="480" w:firstLineChars="200"/>
        <w:rPr>
          <w:bCs/>
          <w:sz w:val="24"/>
        </w:rPr>
      </w:pPr>
      <w:r>
        <w:rPr>
          <w:rFonts w:hint="eastAsia"/>
          <w:bCs/>
          <w:sz w:val="24"/>
        </w:rPr>
        <w:t>八、暂停或延迟披露基金信息的情形</w:t>
      </w:r>
    </w:p>
    <w:p>
      <w:pPr>
        <w:spacing w:line="360" w:lineRule="auto"/>
        <w:ind w:firstLine="480" w:firstLineChars="200"/>
        <w:rPr>
          <w:bCs/>
          <w:sz w:val="24"/>
        </w:rPr>
      </w:pPr>
      <w:r>
        <w:rPr>
          <w:rFonts w:hint="eastAsia"/>
          <w:bCs/>
          <w:sz w:val="24"/>
        </w:rPr>
        <w:t>1、基金投资所涉及的证券、期货交易所遇法定节假日或因其他原因暂停营业时；</w:t>
      </w:r>
    </w:p>
    <w:p>
      <w:pPr>
        <w:spacing w:line="360" w:lineRule="auto"/>
        <w:ind w:firstLine="480" w:firstLineChars="200"/>
        <w:rPr>
          <w:bCs/>
          <w:sz w:val="24"/>
        </w:rPr>
      </w:pPr>
      <w:r>
        <w:rPr>
          <w:rFonts w:hint="eastAsia"/>
          <w:bCs/>
          <w:sz w:val="24"/>
        </w:rPr>
        <w:t>2、不可抗力；</w:t>
      </w:r>
    </w:p>
    <w:p>
      <w:pPr>
        <w:spacing w:line="360" w:lineRule="auto"/>
        <w:ind w:firstLine="480" w:firstLineChars="200"/>
        <w:rPr>
          <w:bCs/>
          <w:sz w:val="24"/>
        </w:rPr>
      </w:pPr>
      <w:r>
        <w:rPr>
          <w:rFonts w:hint="eastAsia"/>
          <w:bCs/>
          <w:sz w:val="24"/>
        </w:rPr>
        <w:t>3、法律法规规定、中国证监会或《基金合同》认定的其他情形。</w:t>
      </w:r>
    </w:p>
    <w:p>
      <w:pPr>
        <w:spacing w:line="360" w:lineRule="auto"/>
        <w:ind w:firstLine="480" w:firstLineChars="200"/>
        <w:rPr>
          <w:bCs/>
          <w:sz w:val="24"/>
        </w:rPr>
      </w:pPr>
      <w:r>
        <w:rPr>
          <w:rFonts w:hint="eastAsia"/>
          <w:bCs/>
          <w:sz w:val="24"/>
        </w:rPr>
        <w:t>九、</w:t>
      </w:r>
      <w:r>
        <w:rPr>
          <w:rFonts w:hint="eastAsia" w:cs="Arial Unicode MS"/>
          <w:bCs/>
          <w:sz w:val="24"/>
        </w:rPr>
        <w:t>法律法规或中国证监会对信息披露另有规定的，从其规定。</w:t>
      </w:r>
      <w:r>
        <w:rPr>
          <w:rFonts w:hint="eastAsia"/>
          <w:bCs/>
          <w:sz w:val="24"/>
        </w:rPr>
        <w:t xml:space="preserve"> </w:t>
      </w:r>
    </w:p>
    <w:p>
      <w:pPr>
        <w:pStyle w:val="2"/>
        <w:spacing w:before="0" w:after="0"/>
        <w:jc w:val="center"/>
        <w:rPr>
          <w:rFonts w:ascii="Times New Roman"/>
          <w:color w:val="auto"/>
          <w:sz w:val="30"/>
        </w:rPr>
      </w:pPr>
      <w:r>
        <w:rPr>
          <w:rFonts w:ascii="Times New Roman"/>
          <w:b w:val="0"/>
          <w:bCs/>
          <w:color w:val="auto"/>
          <w:kern w:val="44"/>
          <w:sz w:val="21"/>
        </w:rPr>
        <w:br w:type="page"/>
      </w:r>
      <w:bookmarkStart w:id="388" w:name="_Toc8059"/>
      <w:bookmarkStart w:id="389" w:name="_Toc8049"/>
      <w:bookmarkStart w:id="390" w:name="_Toc20237418"/>
      <w:bookmarkStart w:id="391" w:name="_Toc9005"/>
      <w:bookmarkStart w:id="392" w:name="_Toc7170"/>
      <w:bookmarkStart w:id="393" w:name="_Toc481653690"/>
      <w:bookmarkStart w:id="394" w:name="_Toc27464"/>
      <w:bookmarkStart w:id="395" w:name="_Toc123112247"/>
      <w:bookmarkStart w:id="396" w:name="_Toc22978"/>
      <w:bookmarkStart w:id="397" w:name="_Toc10006"/>
      <w:bookmarkStart w:id="398" w:name="_Toc6237"/>
      <w:bookmarkStart w:id="399" w:name="_Toc25647"/>
      <w:bookmarkStart w:id="400" w:name="_Toc123051465"/>
      <w:bookmarkStart w:id="401" w:name="_Toc123102466"/>
      <w:bookmarkStart w:id="402" w:name="_Toc139991749"/>
      <w:bookmarkStart w:id="403" w:name="_Toc98560364"/>
      <w:bookmarkStart w:id="404" w:name="_Toc29891"/>
      <w:bookmarkStart w:id="405" w:name="_Toc141703899"/>
      <w:r>
        <w:rPr>
          <w:rFonts w:ascii="Times New Roman"/>
          <w:color w:val="auto"/>
          <w:sz w:val="30"/>
        </w:rPr>
        <w:t>第</w:t>
      </w:r>
      <w:r>
        <w:rPr>
          <w:rFonts w:hint="eastAsia" w:ascii="Times New Roman"/>
          <w:color w:val="auto"/>
          <w:sz w:val="30"/>
        </w:rPr>
        <w:t>十九</w:t>
      </w:r>
      <w:r>
        <w:rPr>
          <w:rFonts w:ascii="Times New Roman"/>
          <w:color w:val="auto"/>
          <w:sz w:val="30"/>
        </w:rPr>
        <w:t>部分</w:t>
      </w:r>
      <w:bookmarkStart w:id="406" w:name="_Hlt88828593"/>
      <w:r>
        <w:rPr>
          <w:rFonts w:hint="eastAsia" w:ascii="Times New Roman"/>
          <w:color w:val="auto"/>
          <w:sz w:val="30"/>
        </w:rPr>
        <w:t xml:space="preserve"> </w:t>
      </w:r>
      <w:r>
        <w:rPr>
          <w:rFonts w:ascii="Times New Roman"/>
          <w:color w:val="auto"/>
          <w:sz w:val="30"/>
        </w:rPr>
        <w:t>基金合同</w:t>
      </w:r>
      <w:bookmarkEnd w:id="406"/>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pacing w:line="360" w:lineRule="auto"/>
        <w:ind w:firstLine="480" w:firstLineChars="200"/>
        <w:rPr>
          <w:bCs/>
          <w:sz w:val="24"/>
        </w:rPr>
      </w:pPr>
    </w:p>
    <w:p>
      <w:pPr>
        <w:spacing w:line="360" w:lineRule="auto"/>
        <w:ind w:firstLine="480" w:firstLineChars="200"/>
        <w:rPr>
          <w:bCs/>
          <w:sz w:val="24"/>
        </w:rPr>
      </w:pPr>
      <w:bookmarkStart w:id="407" w:name="_Toc79392639"/>
      <w:r>
        <w:rPr>
          <w:bCs/>
          <w:sz w:val="24"/>
        </w:rPr>
        <w:t>一、《基金合同》的变更</w:t>
      </w:r>
      <w:bookmarkEnd w:id="407"/>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在规定媒介公告。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w:t>
      </w:r>
      <w:r>
        <w:rPr>
          <w:rFonts w:hint="eastAsia"/>
          <w:bCs/>
          <w:sz w:val="24"/>
        </w:rPr>
        <w:t>符合《中华人民共和国证券法》规定的</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6个</w:t>
      </w:r>
      <w:r>
        <w:rPr>
          <w:bCs/>
          <w:sz w:val="24"/>
        </w:rPr>
        <w:t>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pStyle w:val="2"/>
        <w:spacing w:before="0" w:after="0"/>
        <w:jc w:val="center"/>
        <w:rPr>
          <w:rFonts w:ascii="Times New Roman"/>
          <w:color w:val="auto"/>
          <w:sz w:val="30"/>
        </w:rPr>
      </w:pPr>
      <w:bookmarkStart w:id="408" w:name="_Toc123112248"/>
      <w:bookmarkStart w:id="409" w:name="_Toc48649720"/>
      <w:bookmarkStart w:id="410" w:name="_Toc79392641"/>
      <w:bookmarkStart w:id="411" w:name="_Toc98560365"/>
      <w:bookmarkStart w:id="412" w:name="_Toc123102467"/>
      <w:bookmarkStart w:id="413" w:name="_Toc123051466"/>
      <w:r>
        <w:rPr>
          <w:rFonts w:ascii="Times New Roman"/>
          <w:b w:val="0"/>
          <w:bCs/>
          <w:color w:val="auto"/>
        </w:rPr>
        <w:br w:type="page"/>
      </w:r>
      <w:bookmarkStart w:id="414" w:name="_Toc139991750"/>
      <w:bookmarkStart w:id="415" w:name="_Toc7367"/>
      <w:bookmarkStart w:id="416" w:name="_Toc23022"/>
      <w:bookmarkStart w:id="417" w:name="_Toc28549"/>
      <w:bookmarkStart w:id="418" w:name="_Toc481653691"/>
      <w:bookmarkStart w:id="419" w:name="_Toc141703901"/>
      <w:bookmarkStart w:id="420" w:name="_Toc30645"/>
      <w:bookmarkStart w:id="421" w:name="_Toc20237419"/>
      <w:bookmarkStart w:id="422" w:name="_Toc13398"/>
      <w:bookmarkStart w:id="423" w:name="_Toc27058"/>
      <w:bookmarkStart w:id="424" w:name="_Toc12191"/>
      <w:bookmarkStart w:id="425" w:name="_Toc21240"/>
      <w:bookmarkStart w:id="426" w:name="_Toc9708"/>
      <w:bookmarkStart w:id="427" w:name="_Toc8710"/>
      <w:r>
        <w:rPr>
          <w:rFonts w:ascii="Times New Roman"/>
          <w:color w:val="auto"/>
          <w:sz w:val="30"/>
        </w:rPr>
        <w:t>第二十部分</w:t>
      </w:r>
      <w:r>
        <w:rPr>
          <w:rFonts w:hint="eastAsia"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Pr>
          <w:rFonts w:hint="eastAsia"/>
          <w:bCs/>
          <w:sz w:val="24"/>
        </w:rPr>
        <w:t>应当承担连带赔偿责任，对损失的赔偿，仅限于直接损失</w:t>
      </w:r>
      <w:r>
        <w:rPr>
          <w:bCs/>
          <w:sz w:val="24"/>
        </w:rPr>
        <w:t>。</w:t>
      </w:r>
      <w:r>
        <w:rPr>
          <w:rFonts w:hint="eastAsia"/>
          <w:bCs/>
          <w:sz w:val="24"/>
        </w:rPr>
        <w:t>但如发生下列情况，当事人免责：</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2、基金管理人和/或基金托管人按照当时有效的法律法规或中国证监会的规定作为或不作为而造成的直接损失等；</w:t>
      </w:r>
    </w:p>
    <w:p>
      <w:pPr>
        <w:spacing w:line="360" w:lineRule="auto"/>
        <w:ind w:firstLine="480" w:firstLineChars="200"/>
        <w:rPr>
          <w:bCs/>
          <w:sz w:val="24"/>
        </w:rPr>
      </w:pPr>
      <w:r>
        <w:rPr>
          <w:rFonts w:hint="eastAsia"/>
          <w:bCs/>
          <w:sz w:val="24"/>
        </w:rPr>
        <w:t>3、基金管理人由于按照基金合同规定的投资原则投资或不投资造成的</w:t>
      </w:r>
      <w:r>
        <w:rPr>
          <w:bCs/>
          <w:sz w:val="24"/>
        </w:rPr>
        <w:t>损失</w:t>
      </w:r>
      <w:r>
        <w:rPr>
          <w:rFonts w:hint="eastAsia"/>
          <w:bCs/>
          <w:sz w:val="24"/>
        </w:rPr>
        <w:t>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Pr>
          <w:sz w:val="24"/>
        </w:rPr>
        <w:t>但是基金管理人和基金托管人应积极采取必要的措施消除</w:t>
      </w:r>
      <w:r>
        <w:rPr>
          <w:rFonts w:hint="eastAsia"/>
          <w:sz w:val="24"/>
        </w:rPr>
        <w:t>或减轻</w:t>
      </w:r>
      <w:r>
        <w:rPr>
          <w:sz w:val="24"/>
        </w:rPr>
        <w:t>由此造成的影响</w:t>
      </w:r>
      <w:r>
        <w:rPr>
          <w:bCs/>
          <w:sz w:val="24"/>
        </w:rPr>
        <w:t>。</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28" w:name="_Toc6202"/>
      <w:bookmarkStart w:id="429" w:name="_Toc30350"/>
      <w:bookmarkStart w:id="430" w:name="_Toc123112249"/>
      <w:bookmarkStart w:id="431" w:name="_Toc7288"/>
      <w:bookmarkStart w:id="432" w:name="_Toc481653692"/>
      <w:bookmarkStart w:id="433" w:name="_Toc98560366"/>
      <w:bookmarkStart w:id="434" w:name="_Toc3319"/>
      <w:bookmarkStart w:id="435" w:name="_Toc139991751"/>
      <w:bookmarkStart w:id="436" w:name="_Toc20237420"/>
      <w:bookmarkStart w:id="437" w:name="_Toc123051467"/>
      <w:bookmarkStart w:id="438" w:name="_Toc24923"/>
      <w:bookmarkStart w:id="439" w:name="_Toc141703902"/>
      <w:bookmarkStart w:id="440" w:name="_Toc1790"/>
      <w:bookmarkStart w:id="441" w:name="_Toc23999"/>
      <w:bookmarkStart w:id="442" w:name="_Toc25651"/>
      <w:bookmarkStart w:id="443" w:name="_Toc21983"/>
      <w:bookmarkStart w:id="444" w:name="_Toc123102468"/>
      <w:bookmarkStart w:id="445" w:name="_Toc8636"/>
      <w:r>
        <w:rPr>
          <w:rFonts w:ascii="Times New Roman"/>
          <w:color w:val="auto"/>
          <w:sz w:val="30"/>
        </w:rPr>
        <w:t>第二十</w:t>
      </w:r>
      <w:r>
        <w:rPr>
          <w:rFonts w:hint="eastAsia" w:ascii="Times New Roman"/>
          <w:color w:val="auto"/>
          <w:sz w:val="30"/>
        </w:rPr>
        <w:t>一</w:t>
      </w:r>
      <w:r>
        <w:rPr>
          <w:rFonts w:ascii="Times New Roman"/>
          <w:color w:val="auto"/>
          <w:sz w:val="30"/>
        </w:rPr>
        <w:t>部分</w:t>
      </w:r>
      <w:r>
        <w:rPr>
          <w:rFonts w:hint="eastAsia"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sz w:val="24"/>
        </w:rPr>
        <w:t>任何一方均有权将争议提交</w:t>
      </w:r>
      <w:r>
        <w:rPr>
          <w:rFonts w:hint="eastAsia" w:ascii="宋体" w:hAnsi="宋体" w:cs="Arial"/>
          <w:sz w:val="24"/>
        </w:rPr>
        <w:t>中国国际经济贸易仲裁委员会</w:t>
      </w:r>
      <w:r>
        <w:rPr>
          <w:rFonts w:hint="eastAsia"/>
          <w:sz w:val="24"/>
        </w:rPr>
        <w:t>，按照</w:t>
      </w:r>
      <w:r>
        <w:rPr>
          <w:rFonts w:hint="eastAsia" w:ascii="宋体" w:hAnsi="宋体" w:cs="Arial"/>
          <w:sz w:val="24"/>
        </w:rPr>
        <w:t>中国国际经济贸易仲裁委员会</w:t>
      </w:r>
      <w:r>
        <w:rPr>
          <w:rFonts w:hint="eastAsia"/>
          <w:sz w:val="24"/>
        </w:rPr>
        <w:t>届时有效的仲裁规则进行仲裁。仲裁地点为北京市。仲裁裁决是终局的，对当事人均有约束力。</w:t>
      </w:r>
      <w:r>
        <w:rPr>
          <w:sz w:val="24"/>
        </w:rPr>
        <w:t>除非仲裁裁决另有决定</w:t>
      </w:r>
      <w:r>
        <w:rPr>
          <w:rFonts w:hint="eastAsia"/>
          <w:sz w:val="24"/>
        </w:rPr>
        <w:t>，</w:t>
      </w:r>
      <w:r>
        <w:rPr>
          <w:sz w:val="24"/>
        </w:rPr>
        <w:t>仲裁费用由败诉方承担</w:t>
      </w:r>
      <w:r>
        <w:rPr>
          <w:rFonts w:hint="eastAsia"/>
          <w:sz w:val="24"/>
        </w:rPr>
        <w:t>。</w:t>
      </w:r>
    </w:p>
    <w:p>
      <w:pPr>
        <w:spacing w:line="360" w:lineRule="auto"/>
        <w:ind w:firstLine="480" w:firstLineChars="200"/>
        <w:rPr>
          <w:bCs/>
          <w:sz w:val="24"/>
        </w:rPr>
      </w:pPr>
      <w:r>
        <w:rPr>
          <w:rFonts w:hint="eastAsia" w:ascii="宋体" w:hAnsi="宋体"/>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（为本基金基金合同之目的，不包括香港特别行政区、澳门特别行政区和台湾地区法律）</w:t>
      </w:r>
      <w:r>
        <w:rPr>
          <w:bCs/>
          <w:sz w:val="24"/>
        </w:rPr>
        <w:t>管辖。</w:t>
      </w:r>
    </w:p>
    <w:p>
      <w:pPr>
        <w:spacing w:line="360" w:lineRule="auto"/>
        <w:ind w:firstLine="480" w:firstLineChars="200"/>
        <w:rPr>
          <w:bCs/>
          <w:sz w:val="24"/>
        </w:rPr>
      </w:pPr>
      <w:r>
        <w:rPr>
          <w:bCs/>
          <w:sz w:val="24"/>
        </w:rPr>
        <w:br w:type="page"/>
      </w:r>
    </w:p>
    <w:p>
      <w:pPr>
        <w:pStyle w:val="2"/>
        <w:spacing w:before="0" w:after="0"/>
        <w:jc w:val="center"/>
        <w:rPr>
          <w:rFonts w:ascii="Times New Roman"/>
          <w:color w:val="auto"/>
          <w:sz w:val="30"/>
        </w:rPr>
      </w:pPr>
      <w:bookmarkStart w:id="446" w:name="_Toc29505"/>
      <w:bookmarkStart w:id="447" w:name="_Toc31966"/>
      <w:bookmarkStart w:id="448" w:name="_Toc141703903"/>
      <w:bookmarkStart w:id="449" w:name="_Toc26461"/>
      <w:bookmarkStart w:id="450" w:name="_Toc2532"/>
      <w:bookmarkStart w:id="451" w:name="_Toc484"/>
      <w:bookmarkStart w:id="452" w:name="_Toc20237421"/>
      <w:bookmarkStart w:id="453" w:name="_Toc11618"/>
      <w:bookmarkStart w:id="454" w:name="_Toc139991752"/>
      <w:bookmarkStart w:id="455" w:name="_Toc23991"/>
      <w:bookmarkStart w:id="456" w:name="_Toc123102469"/>
      <w:bookmarkStart w:id="457" w:name="_Toc20350"/>
      <w:bookmarkStart w:id="458" w:name="_Toc8703"/>
      <w:bookmarkStart w:id="459" w:name="_Toc481653693"/>
      <w:bookmarkStart w:id="460" w:name="_Toc123051468"/>
      <w:bookmarkStart w:id="461" w:name="_Toc123112250"/>
      <w:bookmarkStart w:id="462" w:name="_Toc8454"/>
      <w:r>
        <w:rPr>
          <w:rFonts w:ascii="Times New Roman"/>
          <w:color w:val="auto"/>
          <w:sz w:val="30"/>
        </w:rPr>
        <w:t>第二十</w:t>
      </w:r>
      <w:r>
        <w:rPr>
          <w:rFonts w:hint="eastAsia" w:ascii="Times New Roman"/>
          <w:color w:val="auto"/>
          <w:sz w:val="30"/>
        </w:rPr>
        <w:t>二</w:t>
      </w:r>
      <w:r>
        <w:rPr>
          <w:rFonts w:ascii="Times New Roman"/>
          <w:color w:val="auto"/>
          <w:sz w:val="30"/>
        </w:rPr>
        <w:t>部分</w:t>
      </w:r>
      <w:r>
        <w:rPr>
          <w:rFonts w:hint="eastAsia"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w:t>
      </w:r>
      <w:r>
        <w:rPr>
          <w:rFonts w:hint="eastAsia"/>
          <w:bCs/>
          <w:sz w:val="24"/>
        </w:rPr>
        <w:t>、基金与基金合同当事人之间</w:t>
      </w:r>
      <w:r>
        <w:rPr>
          <w:bCs/>
          <w:sz w:val="24"/>
        </w:rPr>
        <w:t>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63" w:name="_Toc20237422"/>
      <w:bookmarkStart w:id="464" w:name="_Toc481653694"/>
      <w:bookmarkStart w:id="465" w:name="_Toc21726"/>
      <w:r>
        <w:rPr>
          <w:rFonts w:hint="eastAsia" w:ascii="Times New Roman"/>
          <w:color w:val="auto"/>
          <w:sz w:val="30"/>
        </w:rPr>
        <w:t>第二十三部分 其他事项</w:t>
      </w:r>
      <w:bookmarkEnd w:id="463"/>
      <w:bookmarkEnd w:id="464"/>
      <w:bookmarkEnd w:id="465"/>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pPr>
        <w:spacing w:line="360" w:lineRule="auto"/>
        <w:ind w:firstLine="480" w:firstLineChars="200"/>
        <w:rPr>
          <w:rFonts w:ascii="宋体" w:hAnsi="宋体"/>
          <w:sz w:val="24"/>
        </w:rPr>
      </w:pPr>
      <w:r>
        <w:rPr>
          <w:rFonts w:ascii="宋体" w:hAnsi="宋体"/>
          <w:sz w:val="24"/>
        </w:rPr>
        <w:br w:type="page"/>
      </w:r>
    </w:p>
    <w:p>
      <w:pPr>
        <w:pStyle w:val="2"/>
        <w:spacing w:before="0" w:after="0"/>
        <w:jc w:val="center"/>
        <w:rPr>
          <w:rFonts w:ascii="Times New Roman"/>
          <w:color w:val="auto"/>
          <w:sz w:val="30"/>
        </w:rPr>
      </w:pPr>
      <w:bookmarkStart w:id="466" w:name="_Toc15664"/>
      <w:bookmarkStart w:id="467" w:name="_Toc7437"/>
      <w:bookmarkStart w:id="468" w:name="_Toc20098"/>
      <w:bookmarkStart w:id="469" w:name="_Toc1360"/>
      <w:bookmarkStart w:id="470" w:name="_Toc20237423"/>
      <w:bookmarkStart w:id="471" w:name="_Toc481653695"/>
      <w:bookmarkStart w:id="472" w:name="_Toc21122"/>
      <w:bookmarkStart w:id="473" w:name="_Toc17263"/>
      <w:bookmarkStart w:id="474" w:name="_Toc32355"/>
      <w:bookmarkStart w:id="475" w:name="_Toc5108"/>
      <w:bookmarkStart w:id="476" w:name="_Toc141703905"/>
      <w:bookmarkStart w:id="477" w:name="_Toc12499"/>
      <w:bookmarkStart w:id="478" w:name="_Toc9054"/>
      <w:r>
        <w:rPr>
          <w:rFonts w:ascii="Times New Roman"/>
          <w:color w:val="auto"/>
          <w:sz w:val="30"/>
        </w:rPr>
        <w:t>第二十</w:t>
      </w:r>
      <w:r>
        <w:rPr>
          <w:rFonts w:hint="eastAsia" w:ascii="Times New Roman"/>
          <w:color w:val="auto"/>
          <w:sz w:val="30"/>
        </w:rPr>
        <w:t>四</w:t>
      </w:r>
      <w:r>
        <w:rPr>
          <w:rFonts w:ascii="Times New Roman"/>
          <w:color w:val="auto"/>
          <w:sz w:val="30"/>
        </w:rPr>
        <w:t>部分</w:t>
      </w:r>
      <w:r>
        <w:rPr>
          <w:rFonts w:hint="eastAsia" w:ascii="Times New Roman"/>
          <w:color w:val="auto"/>
          <w:sz w:val="30"/>
        </w:rPr>
        <w:t xml:space="preserve"> </w:t>
      </w:r>
      <w:r>
        <w:rPr>
          <w:rFonts w:ascii="Times New Roman"/>
          <w:color w:val="auto"/>
          <w:sz w:val="30"/>
        </w:rPr>
        <w:t>基金合同内容摘要</w:t>
      </w:r>
      <w:bookmarkEnd w:id="63"/>
      <w:bookmarkEnd w:id="64"/>
      <w:bookmarkEnd w:id="466"/>
      <w:bookmarkEnd w:id="467"/>
      <w:bookmarkEnd w:id="468"/>
      <w:bookmarkEnd w:id="469"/>
      <w:bookmarkEnd w:id="470"/>
      <w:bookmarkEnd w:id="471"/>
      <w:bookmarkEnd w:id="472"/>
      <w:bookmarkEnd w:id="473"/>
      <w:bookmarkEnd w:id="474"/>
      <w:bookmarkEnd w:id="475"/>
      <w:bookmarkEnd w:id="476"/>
      <w:bookmarkEnd w:id="477"/>
      <w:bookmarkEnd w:id="478"/>
    </w:p>
    <w:p>
      <w:pPr>
        <w:spacing w:line="360" w:lineRule="auto"/>
        <w:ind w:firstLine="482" w:firstLineChars="200"/>
        <w:rPr>
          <w:rFonts w:hAnsi="宋体"/>
          <w:b/>
          <w:sz w:val="24"/>
        </w:rPr>
      </w:pPr>
    </w:p>
    <w:p>
      <w:pPr>
        <w:spacing w:line="360" w:lineRule="auto"/>
        <w:ind w:firstLine="482" w:firstLineChars="200"/>
        <w:rPr>
          <w:rFonts w:ascii="宋体" w:hAnsi="宋体"/>
          <w:sz w:val="24"/>
        </w:rPr>
      </w:pPr>
      <w:r>
        <w:rPr>
          <w:rFonts w:hint="eastAsia"/>
          <w:b/>
          <w:bCs/>
          <w:sz w:val="24"/>
        </w:rPr>
        <w:t>第一节  基金份额持有人、基金管理人和基金托管人的权利、义务</w:t>
      </w:r>
    </w:p>
    <w:p>
      <w:pPr>
        <w:spacing w:line="360" w:lineRule="auto"/>
        <w:ind w:firstLine="480" w:firstLineChars="200"/>
        <w:rPr>
          <w:rFonts w:ascii="宋体" w:hAnsi="宋体"/>
          <w:sz w:val="24"/>
        </w:rPr>
      </w:pPr>
    </w:p>
    <w:p>
      <w:pPr>
        <w:spacing w:line="360" w:lineRule="auto"/>
        <w:ind w:firstLine="480" w:firstLineChars="200"/>
        <w:rPr>
          <w:bCs/>
          <w:sz w:val="24"/>
        </w:rPr>
      </w:pPr>
      <w:r>
        <w:rPr>
          <w:rFonts w:hint="eastAsia"/>
          <w:bCs/>
          <w:sz w:val="24"/>
        </w:rPr>
        <w:t>一、基金份额持有人</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w:t>
      </w:r>
      <w:r>
        <w:rPr>
          <w:bCs/>
          <w:sz w:val="24"/>
        </w:rPr>
        <w:t>纳基金认购、申购款项及法律法规和《基金合同》所规定的费用；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w:t>
      </w:r>
      <w:r>
        <w:rPr>
          <w:bCs/>
          <w:sz w:val="24"/>
        </w:rPr>
        <w:t>法律法规及中国证监会规定的和《基金合同》约定的其他义务。</w:t>
      </w:r>
    </w:p>
    <w:p>
      <w:pPr>
        <w:spacing w:line="360" w:lineRule="auto"/>
        <w:ind w:firstLine="480" w:firstLineChars="200"/>
        <w:rPr>
          <w:bCs/>
          <w:sz w:val="24"/>
        </w:rPr>
      </w:pPr>
      <w:r>
        <w:rPr>
          <w:rFonts w:hint="eastAsia"/>
          <w:bCs/>
          <w:sz w:val="24"/>
        </w:rPr>
        <w:t>二</w:t>
      </w:r>
      <w:r>
        <w:rPr>
          <w:bCs/>
          <w:sz w:val="24"/>
        </w:rPr>
        <w:t>、基金管理人</w:t>
      </w:r>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w:t>
      </w:r>
      <w:r>
        <w:rPr>
          <w:rFonts w:hint="eastAsia"/>
          <w:sz w:val="24"/>
        </w:rPr>
        <w:t>基金合同</w:t>
      </w:r>
      <w:r>
        <w:rPr>
          <w:bCs/>
          <w:sz w:val="24"/>
        </w:rPr>
        <w:t>》生效之日起，根据法律法规和《基金合同》独立运用并管理基金财产；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（16）在符合有关法律、法规的前提下，制订和调整有关基金认购、申购、赎回、转换</w:t>
      </w:r>
      <w:r>
        <w:rPr>
          <w:rFonts w:hint="eastAsia"/>
          <w:bCs/>
          <w:sz w:val="24"/>
        </w:rPr>
        <w:t>和</w:t>
      </w:r>
      <w:r>
        <w:rPr>
          <w:bCs/>
          <w:sz w:val="24"/>
        </w:rPr>
        <w:t>非交易过户</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资金</w:t>
      </w:r>
      <w:r>
        <w:rPr>
          <w:bCs/>
          <w:sz w:val="24"/>
        </w:rPr>
        <w:t>，办理或者委托经中国证监会认定的其他机构代为办理基金份额的发售、申购、赎回和登记事宜；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sz w:val="24"/>
        </w:rPr>
        <w:t>，但向监管机构、司法机构或因审计、法律等外部专业顾问提供服务而向其提供的情况除外</w:t>
      </w:r>
      <w:r>
        <w:rPr>
          <w:bCs/>
          <w:sz w:val="24"/>
        </w:rPr>
        <w:t>；</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r>
        <w:rPr>
          <w:rFonts w:hint="eastAsia"/>
          <w:bCs/>
          <w:sz w:val="24"/>
        </w:rPr>
        <w:t>三</w:t>
      </w:r>
      <w:r>
        <w:rPr>
          <w:bCs/>
          <w:sz w:val="24"/>
        </w:rPr>
        <w:t>、基金托管人</w:t>
      </w:r>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sz w:val="24"/>
        </w:rPr>
        <w:t>，但向监管机构、司法机关或因审计、法律等外部专业顾问提供服务而向其提供的情况除外</w:t>
      </w:r>
      <w:r>
        <w:rPr>
          <w:bCs/>
          <w:sz w:val="24"/>
        </w:rPr>
        <w:t>；</w:t>
      </w:r>
    </w:p>
    <w:p>
      <w:pPr>
        <w:spacing w:line="360" w:lineRule="auto"/>
        <w:ind w:firstLine="480" w:firstLineChars="200"/>
        <w:rPr>
          <w:bCs/>
          <w:sz w:val="24"/>
        </w:rPr>
      </w:pPr>
      <w:r>
        <w:rPr>
          <w:bCs/>
          <w:sz w:val="24"/>
        </w:rPr>
        <w:t>（8）复核、审查基金管理人计算的基金资产净值、各类</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sz w:val="24"/>
        </w:rPr>
        <w:t>15</w:t>
      </w:r>
      <w:r>
        <w:rPr>
          <w:bCs/>
          <w:sz w:val="24"/>
        </w:rPr>
        <w:t>年以上；</w:t>
      </w:r>
    </w:p>
    <w:p>
      <w:pPr>
        <w:spacing w:line="360" w:lineRule="auto"/>
        <w:ind w:firstLine="480" w:firstLineChars="200"/>
        <w:rPr>
          <w:bCs/>
          <w:sz w:val="24"/>
        </w:rPr>
      </w:pPr>
      <w:r>
        <w:rPr>
          <w:bCs/>
          <w:sz w:val="24"/>
        </w:rPr>
        <w:t>（12）</w:t>
      </w:r>
      <w:r>
        <w:rPr>
          <w:rFonts w:hint="eastAsia"/>
          <w:bCs/>
          <w:sz w:val="24"/>
        </w:rPr>
        <w:t>从基金管理人或其委托的登记机构处接收</w:t>
      </w:r>
      <w:r>
        <w:rPr>
          <w:bCs/>
          <w:sz w:val="24"/>
        </w:rPr>
        <w:t>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（18）面临解散、依法被撤销或者被依法宣告破产时，及时报告中国证监会和银行业监管机构，并通知基金管理人；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rFonts w:ascii="宋体" w:hAnsi="宋体"/>
          <w:sz w:val="24"/>
        </w:rPr>
      </w:pPr>
      <w:r>
        <w:rPr>
          <w:rFonts w:hint="eastAsia"/>
          <w:b/>
          <w:bCs/>
          <w:sz w:val="24"/>
        </w:rPr>
        <w:t>第二节  基金份额持有人大会召集、议事及表决的程序和规则</w:t>
      </w:r>
    </w:p>
    <w:p>
      <w:pPr>
        <w:spacing w:line="360" w:lineRule="auto"/>
        <w:ind w:firstLine="480" w:firstLineChars="200"/>
        <w:rPr>
          <w:rFonts w:ascii="宋体" w:hAnsi="宋体"/>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本基金基金份额持有人大会不设立日常机构。</w:t>
      </w:r>
    </w:p>
    <w:p>
      <w:pPr>
        <w:spacing w:line="360" w:lineRule="auto"/>
        <w:ind w:firstLine="480" w:firstLineChars="200"/>
        <w:rPr>
          <w:bCs/>
          <w:sz w:val="24"/>
        </w:rPr>
      </w:pPr>
      <w:r>
        <w:rPr>
          <w:bCs/>
          <w:sz w:val="24"/>
        </w:rPr>
        <w:t>一、召开事由</w:t>
      </w:r>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调整基金管理人、基金托管人的报酬标准</w:t>
      </w:r>
      <w:r>
        <w:rPr>
          <w:bCs/>
          <w:sz w:val="24"/>
        </w:rPr>
        <w:t>和提高销售服务费；</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（1）调低</w:t>
      </w:r>
      <w:r>
        <w:rPr>
          <w:rFonts w:hint="eastAsia"/>
          <w:bCs/>
          <w:sz w:val="24"/>
        </w:rPr>
        <w:t>应由基金承担的费用</w:t>
      </w:r>
      <w:r>
        <w:rPr>
          <w:bCs/>
          <w:sz w:val="24"/>
        </w:rPr>
        <w:t>；</w:t>
      </w:r>
    </w:p>
    <w:p>
      <w:pPr>
        <w:spacing w:line="360" w:lineRule="auto"/>
        <w:ind w:firstLine="480" w:firstLineChars="200"/>
        <w:rPr>
          <w:bCs/>
          <w:sz w:val="24"/>
        </w:rPr>
      </w:pPr>
      <w:r>
        <w:rPr>
          <w:bCs/>
          <w:sz w:val="24"/>
        </w:rPr>
        <w:t>（2）法律法规要求增加的基金费用的收取；</w:t>
      </w:r>
    </w:p>
    <w:p>
      <w:pPr>
        <w:spacing w:line="360" w:lineRule="auto"/>
        <w:ind w:firstLine="480" w:firstLineChars="200"/>
        <w:rPr>
          <w:bCs/>
          <w:sz w:val="24"/>
        </w:rPr>
      </w:pPr>
      <w:r>
        <w:rPr>
          <w:rFonts w:hint="eastAsia"/>
          <w:bCs/>
          <w:sz w:val="24"/>
        </w:rPr>
        <w:t>（3）</w:t>
      </w:r>
      <w:r>
        <w:rPr>
          <w:bCs/>
          <w:sz w:val="24"/>
        </w:rPr>
        <w:t>调整本基金的申购费率、调低赎回费率</w:t>
      </w:r>
      <w:r>
        <w:rPr>
          <w:rFonts w:hint="eastAsia"/>
          <w:bCs/>
          <w:sz w:val="24"/>
        </w:rPr>
        <w:t>、调低</w:t>
      </w:r>
      <w:r>
        <w:rPr>
          <w:bCs/>
          <w:sz w:val="24"/>
        </w:rPr>
        <w:t>销售服务费率</w:t>
      </w:r>
      <w:r>
        <w:rPr>
          <w:rFonts w:hint="eastAsia"/>
          <w:bCs/>
          <w:sz w:val="24"/>
        </w:rPr>
        <w:t>或变更收费方式</w:t>
      </w:r>
      <w:r>
        <w:rPr>
          <w:bCs/>
          <w:sz w:val="24"/>
        </w:rPr>
        <w:t>；</w:t>
      </w:r>
    </w:p>
    <w:p>
      <w:pPr>
        <w:spacing w:line="360" w:lineRule="auto"/>
        <w:ind w:firstLine="480" w:firstLineChars="200"/>
        <w:rPr>
          <w:bCs/>
          <w:sz w:val="24"/>
        </w:rPr>
      </w:pPr>
      <w:r>
        <w:rPr>
          <w:bCs/>
          <w:sz w:val="24"/>
        </w:rPr>
        <w:t>（4）因相应的法律法规发生变动而应当对《基金合同》进行修改；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bCs/>
          <w:sz w:val="24"/>
        </w:rPr>
        <w:t>（</w:t>
      </w:r>
      <w:r>
        <w:rPr>
          <w:rFonts w:hint="eastAsia"/>
          <w:bCs/>
          <w:sz w:val="24"/>
        </w:rPr>
        <w:t>6</w:t>
      </w:r>
      <w:r>
        <w:rPr>
          <w:bCs/>
          <w:sz w:val="24"/>
        </w:rPr>
        <w:t>）</w:t>
      </w:r>
      <w:r>
        <w:rPr>
          <w:rFonts w:hint="eastAsia"/>
          <w:bCs/>
          <w:sz w:val="24"/>
        </w:rPr>
        <w:t>增加、减少或调整基金份额分类办法</w:t>
      </w:r>
      <w:r>
        <w:rPr>
          <w:bCs/>
          <w:sz w:val="24"/>
        </w:rPr>
        <w:t>及规则</w:t>
      </w:r>
      <w:r>
        <w:rPr>
          <w:rFonts w:hint="eastAsia"/>
          <w:bCs/>
          <w:sz w:val="24"/>
        </w:rPr>
        <w:t>；</w:t>
      </w:r>
    </w:p>
    <w:p>
      <w:pPr>
        <w:spacing w:line="360" w:lineRule="auto"/>
        <w:ind w:firstLine="480" w:firstLineChars="200"/>
        <w:rPr>
          <w:bCs/>
          <w:sz w:val="24"/>
        </w:rPr>
      </w:pPr>
      <w:r>
        <w:rPr>
          <w:bCs/>
          <w:sz w:val="24"/>
        </w:rPr>
        <w:t>（</w:t>
      </w:r>
      <w:r>
        <w:rPr>
          <w:rFonts w:hint="eastAsia"/>
          <w:bCs/>
          <w:sz w:val="24"/>
        </w:rPr>
        <w:t>7</w:t>
      </w:r>
      <w:r>
        <w:rPr>
          <w:bCs/>
          <w:sz w:val="24"/>
        </w:rPr>
        <w:t>）</w:t>
      </w:r>
      <w:r>
        <w:rPr>
          <w:rFonts w:hint="eastAsia"/>
          <w:bCs/>
          <w:sz w:val="24"/>
        </w:rPr>
        <w:t>基金管理人、登记机构、基金销售机构调整有关基金认购、申购、赎回、转托管、基金交易、非交易过户等业务规则；</w:t>
      </w:r>
    </w:p>
    <w:p>
      <w:pPr>
        <w:spacing w:line="360" w:lineRule="auto"/>
        <w:ind w:firstLine="480" w:firstLineChars="200"/>
        <w:rPr>
          <w:bCs/>
          <w:sz w:val="24"/>
        </w:rPr>
      </w:pPr>
      <w:r>
        <w:rPr>
          <w:bCs/>
          <w:sz w:val="24"/>
        </w:rPr>
        <w:t>（</w:t>
      </w:r>
      <w:r>
        <w:rPr>
          <w:rFonts w:hint="eastAsia"/>
          <w:bCs/>
          <w:sz w:val="24"/>
        </w:rPr>
        <w:t>8</w:t>
      </w:r>
      <w:r>
        <w:rPr>
          <w:bCs/>
          <w:sz w:val="24"/>
        </w:rPr>
        <w:t>）</w:t>
      </w:r>
      <w:r>
        <w:rPr>
          <w:rFonts w:hint="eastAsia"/>
          <w:bCs/>
          <w:sz w:val="24"/>
        </w:rPr>
        <w:t>本基金推出新业务或新服务；</w:t>
      </w:r>
    </w:p>
    <w:p>
      <w:pPr>
        <w:spacing w:line="360" w:lineRule="auto"/>
        <w:ind w:firstLine="480" w:firstLineChars="200"/>
        <w:rPr>
          <w:bCs/>
          <w:sz w:val="24"/>
        </w:rPr>
      </w:pPr>
      <w:r>
        <w:rPr>
          <w:rFonts w:hint="eastAsia"/>
          <w:bCs/>
          <w:sz w:val="24"/>
        </w:rPr>
        <w:t>（9）在不违反法律法规的情况下，调整基金的申购赎回方式；</w:t>
      </w:r>
    </w:p>
    <w:p>
      <w:pPr>
        <w:spacing w:line="360" w:lineRule="auto"/>
        <w:ind w:firstLine="480" w:firstLineChars="200"/>
        <w:rPr>
          <w:bCs/>
          <w:sz w:val="24"/>
        </w:rPr>
      </w:pPr>
      <w:r>
        <w:rPr>
          <w:rFonts w:hint="eastAsia"/>
          <w:bCs/>
          <w:sz w:val="24"/>
        </w:rPr>
        <w:t>（10）</w:t>
      </w:r>
      <w:r>
        <w:rPr>
          <w:bCs/>
          <w:sz w:val="24"/>
        </w:rPr>
        <w:t>按照法律法规和《基金合同》规定不需召开基金份额持有人大会的其他情形。</w:t>
      </w:r>
    </w:p>
    <w:p>
      <w:pPr>
        <w:spacing w:line="360" w:lineRule="auto"/>
        <w:ind w:firstLine="480" w:firstLineChars="200"/>
        <w:rPr>
          <w:bCs/>
          <w:sz w:val="24"/>
        </w:rPr>
      </w:pPr>
      <w:r>
        <w:rPr>
          <w:bCs/>
          <w:sz w:val="24"/>
        </w:rPr>
        <w:t>二、会议召集人及召集方式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r>
        <w:rPr>
          <w:rFonts w:hint="eastAsia"/>
          <w:bCs/>
          <w:sz w:val="24"/>
        </w:rPr>
        <w:t>。</w:t>
      </w:r>
    </w:p>
    <w:p>
      <w:pPr>
        <w:spacing w:line="360" w:lineRule="auto"/>
        <w:ind w:firstLine="480" w:firstLineChars="200"/>
        <w:rPr>
          <w:bCs/>
          <w:sz w:val="24"/>
        </w:rPr>
      </w:pPr>
      <w:r>
        <w:rPr>
          <w:bCs/>
          <w:sz w:val="24"/>
        </w:rPr>
        <w:t>2、基金管理人未按规定召集或不能</w:t>
      </w:r>
      <w:r>
        <w:rPr>
          <w:rFonts w:hint="eastAsia"/>
          <w:bCs/>
          <w:sz w:val="24"/>
        </w:rPr>
        <w:t>召开</w:t>
      </w:r>
      <w:r>
        <w:rPr>
          <w:bCs/>
          <w:sz w:val="24"/>
        </w:rPr>
        <w:t>时，由基金托管人召集</w:t>
      </w:r>
      <w:r>
        <w:rPr>
          <w:rFonts w:hint="eastAsia"/>
          <w:bCs/>
          <w:sz w:val="24"/>
        </w:rPr>
        <w:t>。</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bCs/>
          <w:sz w:val="24"/>
        </w:rPr>
        <w:t>四、基金份额持有人出席会议的方式</w:t>
      </w:r>
    </w:p>
    <w:p>
      <w:pPr>
        <w:spacing w:line="360" w:lineRule="auto"/>
        <w:ind w:firstLine="480" w:firstLineChars="200"/>
        <w:rPr>
          <w:bCs/>
          <w:sz w:val="24"/>
        </w:rPr>
      </w:pPr>
      <w:r>
        <w:rPr>
          <w:bCs/>
          <w:sz w:val="24"/>
        </w:rPr>
        <w:t>基金份额持有人大会可通过现场开会</w:t>
      </w:r>
      <w:r>
        <w:rPr>
          <w:rFonts w:hint="eastAsia"/>
          <w:bCs/>
          <w:sz w:val="24"/>
        </w:rPr>
        <w:t>方式、</w:t>
      </w:r>
      <w:r>
        <w:rPr>
          <w:bCs/>
          <w:sz w:val="24"/>
        </w:rPr>
        <w:t>通讯开会</w:t>
      </w:r>
      <w:r>
        <w:rPr>
          <w:rFonts w:hint="eastAsia"/>
          <w:bCs/>
          <w:sz w:val="24"/>
        </w:rPr>
        <w:t>方式或法律法规、监管机构允许的其他</w:t>
      </w:r>
      <w:r>
        <w:rPr>
          <w:bCs/>
          <w:sz w:val="24"/>
        </w:rPr>
        <w:t>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r>
        <w:rPr>
          <w:bCs/>
          <w:sz w:val="24"/>
        </w:rPr>
        <w:t>。</w:t>
      </w:r>
    </w:p>
    <w:p>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pPr>
        <w:spacing w:line="360" w:lineRule="auto"/>
        <w:ind w:firstLine="480" w:firstLineChars="200"/>
        <w:rPr>
          <w:sz w:val="24"/>
        </w:rPr>
      </w:pPr>
      <w:r>
        <w:rPr>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rPr>
          <w:rFonts w:hint="eastAsia"/>
          <w:sz w:val="24"/>
        </w:rPr>
        <w:t>。</w:t>
      </w:r>
    </w:p>
    <w:p>
      <w:pPr>
        <w:spacing w:line="360" w:lineRule="auto"/>
        <w:ind w:firstLine="480" w:firstLineChars="20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sz w:val="24"/>
        </w:rPr>
        <w:t>4</w:t>
      </w:r>
      <w:r>
        <w:rPr>
          <w:rFonts w:hint="eastAsia"/>
          <w:sz w:val="24"/>
        </w:rPr>
        <w:t>、在不与法律法规冲突的前提下，基金份额持有人授权他人代为出席会议并表决的，授权方式可以采用书面、网络、电话、短信或其他方式，具体方式在会议通知中列明。</w:t>
      </w:r>
    </w:p>
    <w:p>
      <w:pPr>
        <w:spacing w:line="360" w:lineRule="auto"/>
        <w:ind w:firstLine="480" w:firstLineChars="200"/>
        <w:rPr>
          <w:bCs/>
          <w:sz w:val="24"/>
        </w:rPr>
      </w:pPr>
      <w:r>
        <w:rPr>
          <w:bCs/>
          <w:sz w:val="24"/>
        </w:rPr>
        <w:t>五、议事内容与程序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r>
        <w:rPr>
          <w:bCs/>
          <w:sz w:val="24"/>
        </w:rPr>
        <w:t>六、表决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bCs/>
          <w:sz w:val="24"/>
        </w:rPr>
        <w:t>七、计票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bCs/>
          <w:sz w:val="24"/>
        </w:rPr>
        <w:t>基金份额持有人大会决议自生效之日</w:t>
      </w:r>
      <w:r>
        <w:rPr>
          <w:rFonts w:hint="eastAsia"/>
          <w:sz w:val="24"/>
        </w:rPr>
        <w:t>后</w:t>
      </w:r>
      <w:r>
        <w:rPr>
          <w:rFonts w:hint="eastAsia"/>
          <w:bCs/>
          <w:sz w:val="24"/>
        </w:rPr>
        <w:t>依照《信息披露办法》的有关规定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sz w:val="24"/>
        </w:rPr>
      </w:pPr>
      <w:r>
        <w:rPr>
          <w:rFonts w:hint="eastAsia"/>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rFonts w:ascii="宋体" w:hAnsi="宋体"/>
          <w:sz w:val="24"/>
        </w:rPr>
      </w:pPr>
      <w:r>
        <w:rPr>
          <w:rFonts w:hint="eastAsia"/>
          <w:b/>
          <w:bCs/>
          <w:sz w:val="24"/>
        </w:rPr>
        <w:t>第三节  基金收益分配原则、执行方式</w:t>
      </w:r>
    </w:p>
    <w:p>
      <w:pPr>
        <w:spacing w:line="360" w:lineRule="auto"/>
        <w:ind w:firstLine="480" w:firstLineChars="200"/>
        <w:rPr>
          <w:rFonts w:ascii="宋体" w:hAnsi="宋体"/>
          <w:sz w:val="24"/>
        </w:rPr>
      </w:pPr>
    </w:p>
    <w:p>
      <w:pPr>
        <w:spacing w:line="360" w:lineRule="auto"/>
        <w:ind w:firstLine="480" w:firstLineChars="200"/>
        <w:rPr>
          <w:bCs/>
          <w:sz w:val="24"/>
        </w:rPr>
      </w:pPr>
      <w:r>
        <w:rPr>
          <w:bCs/>
          <w:sz w:val="24"/>
        </w:rPr>
        <w:t>一、基金利润的构成</w:t>
      </w:r>
    </w:p>
    <w:p>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480" w:firstLineChars="200"/>
        <w:rPr>
          <w:bCs/>
          <w:sz w:val="24"/>
        </w:rPr>
      </w:pPr>
      <w:r>
        <w:rPr>
          <w:bCs/>
          <w:sz w:val="24"/>
        </w:rPr>
        <w:t>二、基金可供分配利润</w:t>
      </w:r>
    </w:p>
    <w:p>
      <w:pPr>
        <w:spacing w:line="360" w:lineRule="auto"/>
        <w:ind w:firstLine="480" w:firstLineChars="200"/>
        <w:rPr>
          <w:bCs/>
          <w:sz w:val="24"/>
        </w:rPr>
      </w:pPr>
      <w:r>
        <w:rPr>
          <w:bCs/>
          <w:sz w:val="24"/>
        </w:rPr>
        <w:t>基金可供分配利润指截至收益分配基准日基金未分配利润与未分配利润中已实现收益的孰低数。</w:t>
      </w:r>
    </w:p>
    <w:p>
      <w:pPr>
        <w:spacing w:line="360" w:lineRule="auto"/>
        <w:ind w:firstLine="480" w:firstLineChars="200"/>
        <w:rPr>
          <w:bCs/>
          <w:sz w:val="24"/>
        </w:rPr>
      </w:pPr>
      <w:r>
        <w:rPr>
          <w:bCs/>
          <w:sz w:val="24"/>
        </w:rPr>
        <w:t>三、基金收益分配原则</w:t>
      </w:r>
    </w:p>
    <w:p>
      <w:pPr>
        <w:spacing w:line="360" w:lineRule="auto"/>
        <w:ind w:firstLine="480" w:firstLineChars="200"/>
        <w:rPr>
          <w:bCs/>
          <w:sz w:val="24"/>
        </w:rPr>
      </w:pPr>
      <w:r>
        <w:rPr>
          <w:rFonts w:hint="eastAsia"/>
          <w:bCs/>
          <w:sz w:val="24"/>
        </w:rPr>
        <w:t>1</w:t>
      </w:r>
      <w:r>
        <w:rPr>
          <w:bCs/>
          <w:sz w:val="24"/>
        </w:rPr>
        <w:t>、</w:t>
      </w:r>
      <w:r>
        <w:rPr>
          <w:rFonts w:hint="eastAsia"/>
          <w:bCs/>
          <w:sz w:val="24"/>
        </w:rPr>
        <w:t>本基金收益分配方式分两种：现金分红与红利再投资，投资者可选择现金红利或将现金红利自动转为相应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p>
    <w:p>
      <w:pPr>
        <w:spacing w:line="360" w:lineRule="auto"/>
        <w:ind w:firstLine="480" w:firstLineChars="200"/>
        <w:rPr>
          <w:bCs/>
          <w:sz w:val="24"/>
        </w:rPr>
      </w:pPr>
      <w:r>
        <w:rPr>
          <w:rFonts w:hint="eastAsia"/>
          <w:bCs/>
          <w:sz w:val="24"/>
        </w:rPr>
        <w:t>2</w:t>
      </w:r>
      <w:r>
        <w:rPr>
          <w:bCs/>
          <w:sz w:val="24"/>
        </w:rPr>
        <w:t>、基金收益分配后基金份额净值不能低于面值；即基金收益分配基准日的各类基金份额净值减去每单位该类基金份额收益分配金额后不能低于面值</w:t>
      </w:r>
      <w:r>
        <w:rPr>
          <w:rFonts w:hint="eastAsia"/>
          <w:bCs/>
          <w:sz w:val="24"/>
        </w:rPr>
        <w:t>；</w:t>
      </w:r>
    </w:p>
    <w:p>
      <w:pPr>
        <w:spacing w:line="360" w:lineRule="auto"/>
        <w:ind w:firstLine="480" w:firstLineChars="200"/>
        <w:rPr>
          <w:bCs/>
          <w:sz w:val="24"/>
        </w:rPr>
      </w:pPr>
      <w:r>
        <w:rPr>
          <w:rFonts w:hint="eastAsia"/>
          <w:bCs/>
          <w:sz w:val="24"/>
        </w:rPr>
        <w:t>3</w:t>
      </w:r>
      <w:r>
        <w:rPr>
          <w:bCs/>
          <w:sz w:val="24"/>
        </w:rPr>
        <w:t>、</w:t>
      </w:r>
      <w:r>
        <w:rPr>
          <w:rFonts w:hint="eastAsia"/>
          <w:bCs/>
          <w:sz w:val="24"/>
        </w:rPr>
        <w:t>同一类别内</w:t>
      </w:r>
      <w:r>
        <w:rPr>
          <w:bCs/>
          <w:sz w:val="24"/>
        </w:rPr>
        <w:t>每一基金份额享有同等分配权；</w:t>
      </w:r>
    </w:p>
    <w:p>
      <w:pPr>
        <w:spacing w:line="360" w:lineRule="auto"/>
        <w:ind w:firstLine="480" w:firstLineChars="200"/>
        <w:rPr>
          <w:bCs/>
          <w:sz w:val="24"/>
        </w:rPr>
      </w:pPr>
      <w:r>
        <w:rPr>
          <w:rFonts w:hint="eastAsia"/>
          <w:bCs/>
          <w:sz w:val="24"/>
        </w:rPr>
        <w:t>4</w:t>
      </w:r>
      <w:r>
        <w:rPr>
          <w:bCs/>
          <w:sz w:val="24"/>
        </w:rPr>
        <w:t>、法律法规或监管机关另有规定的，从其规定。</w:t>
      </w:r>
    </w:p>
    <w:p>
      <w:pPr>
        <w:spacing w:line="360" w:lineRule="auto"/>
        <w:ind w:firstLine="480" w:firstLineChars="200"/>
        <w:rPr>
          <w:bCs/>
          <w:sz w:val="24"/>
        </w:rPr>
      </w:pPr>
      <w:r>
        <w:rPr>
          <w:rFonts w:hint="eastAsia"/>
          <w:bCs/>
          <w:sz w:val="24"/>
        </w:rPr>
        <w:t>本基金每次收益分配比例详见届时基金管理人发布的公告。</w:t>
      </w:r>
    </w:p>
    <w:p>
      <w:pPr>
        <w:spacing w:line="360" w:lineRule="auto"/>
        <w:ind w:firstLine="480" w:firstLineChars="20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pPr>
        <w:spacing w:line="360" w:lineRule="auto"/>
        <w:ind w:firstLine="480" w:firstLineChars="200"/>
        <w:rPr>
          <w:bCs/>
          <w:sz w:val="24"/>
        </w:rPr>
      </w:pPr>
      <w:r>
        <w:rPr>
          <w:bCs/>
          <w:sz w:val="24"/>
        </w:rPr>
        <w:t>四、收益分配方案</w:t>
      </w:r>
    </w:p>
    <w:p>
      <w:pPr>
        <w:spacing w:line="360" w:lineRule="auto"/>
        <w:ind w:firstLine="480" w:firstLineChars="200"/>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Pr>
          <w:rFonts w:hint="eastAsia"/>
          <w:bCs/>
          <w:sz w:val="24"/>
        </w:rPr>
        <w:t>规定媒介</w:t>
      </w:r>
      <w:r>
        <w:rPr>
          <w:bCs/>
          <w:sz w:val="24"/>
        </w:rPr>
        <w:t>公告</w:t>
      </w:r>
      <w:r>
        <w:rPr>
          <w:rFonts w:hint="eastAsia"/>
          <w:bCs/>
          <w:sz w:val="24"/>
        </w:rPr>
        <w:t>。</w:t>
      </w:r>
    </w:p>
    <w:p>
      <w:pPr>
        <w:spacing w:line="360" w:lineRule="auto"/>
        <w:ind w:firstLine="540" w:firstLineChars="225"/>
        <w:rPr>
          <w:bCs/>
          <w:sz w:val="24"/>
        </w:rPr>
      </w:pPr>
      <w:r>
        <w:rPr>
          <w:bCs/>
          <w:sz w:val="24"/>
        </w:rPr>
        <w:t>六、基金收益分配中发生的费用</w:t>
      </w:r>
    </w:p>
    <w:p>
      <w:pPr>
        <w:spacing w:line="360" w:lineRule="auto"/>
        <w:ind w:firstLine="480" w:firstLineChars="20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rFonts w:ascii="宋体" w:hAnsi="宋体"/>
          <w:sz w:val="24"/>
        </w:rPr>
      </w:pPr>
      <w:r>
        <w:rPr>
          <w:rFonts w:hint="eastAsia"/>
          <w:b/>
          <w:bCs/>
          <w:sz w:val="24"/>
        </w:rPr>
        <w:t xml:space="preserve">第四节  </w:t>
      </w:r>
      <w:r>
        <w:rPr>
          <w:b/>
          <w:bCs/>
          <w:sz w:val="24"/>
        </w:rPr>
        <w:t>与基金财产管理、运用有关费用的提取、支付方式与比例</w:t>
      </w:r>
    </w:p>
    <w:p>
      <w:pPr>
        <w:spacing w:line="360" w:lineRule="auto"/>
        <w:ind w:firstLine="480" w:firstLineChars="200"/>
        <w:rPr>
          <w:rFonts w:ascii="宋体" w:hAnsi="宋体"/>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3、C类基金份额的基金销售服务费；</w:t>
      </w:r>
    </w:p>
    <w:p>
      <w:pPr>
        <w:spacing w:line="360" w:lineRule="auto"/>
        <w:ind w:firstLine="480" w:firstLineChars="200"/>
        <w:rPr>
          <w:bCs/>
          <w:sz w:val="24"/>
        </w:rPr>
      </w:pPr>
      <w:r>
        <w:rPr>
          <w:rFonts w:hint="eastAsia"/>
          <w:bCs/>
          <w:sz w:val="24"/>
        </w:rPr>
        <w:t>4</w:t>
      </w:r>
      <w:r>
        <w:rPr>
          <w:bCs/>
          <w:sz w:val="24"/>
        </w:rPr>
        <w:t>、《基金合同》生效后与基金相关的信息披露费用；</w:t>
      </w:r>
    </w:p>
    <w:p>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rFonts w:hint="eastAsia"/>
          <w:bCs/>
          <w:sz w:val="24"/>
        </w:rPr>
        <w:t>6</w:t>
      </w:r>
      <w:r>
        <w:rPr>
          <w:bCs/>
          <w:sz w:val="24"/>
        </w:rPr>
        <w:t>、基金份额持有人大会费用；</w:t>
      </w:r>
    </w:p>
    <w:p>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交易费用；</w:t>
      </w:r>
    </w:p>
    <w:p>
      <w:pPr>
        <w:spacing w:line="360" w:lineRule="auto"/>
        <w:ind w:firstLine="480" w:firstLineChars="200"/>
        <w:rPr>
          <w:bCs/>
          <w:sz w:val="24"/>
        </w:rPr>
      </w:pPr>
      <w:r>
        <w:rPr>
          <w:rFonts w:hint="eastAsia"/>
          <w:bCs/>
          <w:sz w:val="24"/>
        </w:rPr>
        <w:t>8</w:t>
      </w:r>
      <w:r>
        <w:rPr>
          <w:bCs/>
          <w:sz w:val="24"/>
        </w:rPr>
        <w:t>、基金的银行汇划费用；</w:t>
      </w:r>
    </w:p>
    <w:p>
      <w:pPr>
        <w:spacing w:line="360" w:lineRule="auto"/>
        <w:ind w:firstLine="480" w:firstLineChars="200"/>
        <w:rPr>
          <w:bCs/>
          <w:sz w:val="24"/>
        </w:rPr>
      </w:pPr>
      <w:r>
        <w:rPr>
          <w:rFonts w:hint="eastAsia"/>
          <w:bCs/>
          <w:sz w:val="24"/>
        </w:rPr>
        <w:t>9</w:t>
      </w:r>
      <w:r>
        <w:rPr>
          <w:bCs/>
          <w:sz w:val="24"/>
        </w:rPr>
        <w:t>、基金的</w:t>
      </w:r>
      <w:r>
        <w:rPr>
          <w:rFonts w:hint="eastAsia"/>
          <w:bCs/>
          <w:sz w:val="24"/>
        </w:rPr>
        <w:t>账户</w:t>
      </w:r>
      <w:r>
        <w:rPr>
          <w:bCs/>
          <w:sz w:val="24"/>
        </w:rPr>
        <w:t>开户费用、账户维护费用；</w:t>
      </w:r>
    </w:p>
    <w:p>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w:t>
      </w:r>
      <w:r>
        <w:rPr>
          <w:rFonts w:hint="eastAsia"/>
          <w:bCs/>
          <w:sz w:val="24"/>
        </w:rPr>
        <w:t>0.80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0.80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2</w:t>
      </w:r>
      <w:r>
        <w:rPr>
          <w:rFonts w:hint="eastAsia"/>
          <w:bCs/>
          <w:sz w:val="24"/>
        </w:rPr>
        <w:t>、基金托管人的托管费</w:t>
      </w:r>
    </w:p>
    <w:p>
      <w:pPr>
        <w:spacing w:line="360" w:lineRule="auto"/>
        <w:ind w:firstLine="480" w:firstLineChars="200"/>
        <w:rPr>
          <w:bCs/>
          <w:sz w:val="24"/>
        </w:rPr>
      </w:pPr>
      <w:r>
        <w:rPr>
          <w:bCs/>
          <w:sz w:val="24"/>
        </w:rPr>
        <w:t>本基金的托管费按前一日基金资产净值的0.</w:t>
      </w:r>
      <w:r>
        <w:rPr>
          <w:rFonts w:hint="eastAsia"/>
          <w:bCs/>
          <w:sz w:val="24"/>
        </w:rPr>
        <w:t>20</w:t>
      </w:r>
      <w:r>
        <w:rPr>
          <w:bCs/>
          <w:sz w:val="24"/>
        </w:rPr>
        <w:t>%的年费率计提。托管费的计算方法如下：</w:t>
      </w:r>
    </w:p>
    <w:p>
      <w:pPr>
        <w:spacing w:line="360" w:lineRule="auto"/>
        <w:ind w:firstLine="480" w:firstLineChars="200"/>
        <w:rPr>
          <w:bCs/>
          <w:sz w:val="24"/>
        </w:rPr>
      </w:pPr>
      <w:r>
        <w:rPr>
          <w:bCs/>
          <w:sz w:val="24"/>
        </w:rPr>
        <w:t>H＝E×0.</w:t>
      </w:r>
      <w:r>
        <w:rPr>
          <w:rFonts w:hint="eastAsia"/>
          <w:bCs/>
          <w:sz w:val="24"/>
        </w:rPr>
        <w:t>20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本基金A类基金份额不收取销售服务费，C类基金份额的销售服务费年费率为0.60%。销售服务费计提的计算公式如下：</w:t>
      </w:r>
    </w:p>
    <w:p>
      <w:pPr>
        <w:spacing w:line="360" w:lineRule="auto"/>
        <w:ind w:firstLine="480" w:firstLineChars="200"/>
        <w:rPr>
          <w:bCs/>
          <w:sz w:val="24"/>
        </w:rPr>
      </w:pPr>
      <w:r>
        <w:rPr>
          <w:bCs/>
          <w:sz w:val="24"/>
        </w:rPr>
        <w:t>H</w:t>
      </w:r>
      <w:r>
        <w:rPr>
          <w:rFonts w:hint="eastAsia"/>
          <w:bCs/>
          <w:sz w:val="24"/>
        </w:rPr>
        <w:t>＝</w:t>
      </w:r>
      <w:r>
        <w:rPr>
          <w:bCs/>
          <w:sz w:val="24"/>
        </w:rPr>
        <w:t>E×0.</w:t>
      </w:r>
      <w:r>
        <w:rPr>
          <w:rFonts w:hint="eastAsia"/>
          <w:bCs/>
          <w:sz w:val="24"/>
        </w:rPr>
        <w:t>6</w:t>
      </w:r>
      <w:r>
        <w:rPr>
          <w:bCs/>
          <w:sz w:val="24"/>
        </w:rPr>
        <w:t>0%÷</w:t>
      </w:r>
      <w:r>
        <w:rPr>
          <w:rFonts w:hint="eastAsia"/>
          <w:bCs/>
          <w:sz w:val="24"/>
        </w:rPr>
        <w:t>当年天数</w:t>
      </w:r>
    </w:p>
    <w:p>
      <w:pPr>
        <w:spacing w:line="360" w:lineRule="auto"/>
        <w:ind w:firstLine="480" w:firstLineChars="200"/>
        <w:rPr>
          <w:bCs/>
          <w:sz w:val="24"/>
        </w:rPr>
      </w:pPr>
      <w:r>
        <w:rPr>
          <w:bCs/>
          <w:sz w:val="24"/>
        </w:rPr>
        <w:t>H</w:t>
      </w:r>
      <w:r>
        <w:rPr>
          <w:rFonts w:hint="eastAsia"/>
          <w:bCs/>
          <w:sz w:val="24"/>
        </w:rPr>
        <w:t>为C类基金份额每日应计提的销售服务费</w:t>
      </w:r>
    </w:p>
    <w:p>
      <w:pPr>
        <w:spacing w:line="360" w:lineRule="auto"/>
        <w:ind w:firstLine="480" w:firstLineChars="200"/>
        <w:rPr>
          <w:bCs/>
          <w:sz w:val="24"/>
        </w:rPr>
      </w:pPr>
      <w:r>
        <w:rPr>
          <w:bCs/>
          <w:sz w:val="24"/>
        </w:rPr>
        <w:t>E</w:t>
      </w:r>
      <w:r>
        <w:rPr>
          <w:rFonts w:hint="eastAsia"/>
          <w:bCs/>
          <w:sz w:val="24"/>
        </w:rPr>
        <w:t>为C类基金份额前一日的基金资产净值</w:t>
      </w:r>
    </w:p>
    <w:p>
      <w:pPr>
        <w:spacing w:line="360" w:lineRule="auto"/>
        <w:ind w:firstLine="480" w:firstLineChars="200"/>
        <w:rPr>
          <w:bCs/>
          <w:sz w:val="24"/>
        </w:rPr>
      </w:pPr>
      <w:r>
        <w:rPr>
          <w:rFonts w:hint="eastAsia"/>
          <w:bCs/>
          <w:sz w:val="24"/>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rPr>
          <w:bCs/>
          <w:sz w:val="24"/>
        </w:rPr>
      </w:pPr>
      <w:r>
        <w:rPr>
          <w:rFonts w:hint="eastAsia"/>
          <w:bCs/>
          <w:sz w:val="24"/>
        </w:rPr>
        <w:t>四</w:t>
      </w:r>
      <w:r>
        <w:rPr>
          <w:bCs/>
          <w:sz w:val="24"/>
        </w:rPr>
        <w:t>、基金税收</w:t>
      </w:r>
    </w:p>
    <w:p>
      <w:pPr>
        <w:spacing w:line="360" w:lineRule="auto"/>
        <w:ind w:firstLine="480" w:firstLineChars="200"/>
        <w:rPr>
          <w:bCs/>
          <w:sz w:val="24"/>
        </w:rPr>
      </w:pPr>
      <w:r>
        <w:rPr>
          <w:rFonts w:hint="eastAsia"/>
          <w:bCs/>
          <w:sz w:val="24"/>
        </w:rPr>
        <w:t>本基金支付给基金管理人、基金托管人的各项费用均为含税价格，具体税率适用中国税务主管机关的规定。</w:t>
      </w:r>
    </w:p>
    <w:p>
      <w:pPr>
        <w:spacing w:line="360" w:lineRule="auto"/>
        <w:ind w:firstLine="480" w:firstLineChars="20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bCs/>
          <w:sz w:val="24"/>
        </w:rPr>
      </w:pPr>
      <w:r>
        <w:rPr>
          <w:rFonts w:hint="eastAsia"/>
          <w:b/>
          <w:bCs/>
          <w:sz w:val="24"/>
        </w:rPr>
        <w:t>第五节  基金财产的投资方向和投资限制</w:t>
      </w:r>
    </w:p>
    <w:p>
      <w:pPr>
        <w:spacing w:line="360" w:lineRule="auto"/>
        <w:ind w:firstLine="480" w:firstLineChars="200"/>
        <w:rPr>
          <w:rFonts w:ascii="宋体" w:hAnsi="宋体"/>
          <w:sz w:val="24"/>
        </w:rPr>
      </w:pPr>
    </w:p>
    <w:p>
      <w:pPr>
        <w:spacing w:line="360" w:lineRule="auto"/>
        <w:ind w:firstLine="480" w:firstLineChars="200"/>
        <w:rPr>
          <w:bCs/>
          <w:sz w:val="24"/>
        </w:rPr>
      </w:pPr>
      <w:r>
        <w:rPr>
          <w:rFonts w:hint="eastAsia"/>
          <w:bCs/>
          <w:sz w:val="24"/>
        </w:rPr>
        <w:t>一</w:t>
      </w:r>
      <w:r>
        <w:rPr>
          <w:bCs/>
          <w:sz w:val="24"/>
        </w:rPr>
        <w:t>、投资范围</w:t>
      </w:r>
    </w:p>
    <w:p>
      <w:pPr>
        <w:spacing w:line="360" w:lineRule="auto"/>
        <w:ind w:firstLine="480" w:firstLineChars="200"/>
        <w:rPr>
          <w:bCs/>
          <w:sz w:val="24"/>
        </w:rPr>
      </w:pPr>
      <w:r>
        <w:rPr>
          <w:bCs/>
          <w:sz w:val="24"/>
        </w:rPr>
        <w:t>本基金的投资范围为具有良好流动性的金融工具，包括国内依法发行上市的股票（包括中小板、创业板及其他经中国证监会核准</w:t>
      </w:r>
      <w:r>
        <w:rPr>
          <w:rFonts w:hint="eastAsia"/>
          <w:bCs/>
          <w:sz w:val="24"/>
        </w:rPr>
        <w:t>或</w:t>
      </w:r>
      <w:r>
        <w:rPr>
          <w:bCs/>
          <w:sz w:val="24"/>
        </w:rPr>
        <w:t>注册上市的股票</w:t>
      </w:r>
      <w:r>
        <w:rPr>
          <w:rFonts w:hint="eastAsia"/>
          <w:bCs/>
          <w:sz w:val="24"/>
        </w:rPr>
        <w:t>、存托凭证</w:t>
      </w:r>
      <w:r>
        <w:rPr>
          <w:bCs/>
          <w:sz w:val="24"/>
        </w:rPr>
        <w:t>）</w:t>
      </w:r>
      <w:r>
        <w:rPr>
          <w:rFonts w:hint="eastAsia"/>
          <w:bCs/>
          <w:sz w:val="24"/>
        </w:rPr>
        <w:t>、债券（包括国债、地方政府债、央行票据、金融债、企业债、公司债、次级债、可转换债券（含分离交易可转债）、短期融资券、超短期融资券、中期票据等）、资产支持证券、债券回购、银行存款、同业存单、货币市场工具、</w:t>
      </w:r>
      <w:r>
        <w:rPr>
          <w:bCs/>
          <w:sz w:val="24"/>
        </w:rPr>
        <w:t>股指期货以及法律法规或中国证监会允许基金投资的其他金融工具(但须符合中国证监会相关规定)。</w:t>
      </w:r>
    </w:p>
    <w:p>
      <w:pPr>
        <w:spacing w:line="360" w:lineRule="auto"/>
        <w:ind w:firstLine="480" w:firstLineChars="200"/>
        <w:rPr>
          <w:bCs/>
          <w:sz w:val="24"/>
        </w:rPr>
      </w:pPr>
      <w:r>
        <w:rPr>
          <w:rFonts w:hint="eastAsia"/>
          <w:bCs/>
          <w:sz w:val="24"/>
        </w:rPr>
        <w:t>本基金将根据法律法规的规定参与融资业务。</w:t>
      </w:r>
    </w:p>
    <w:p>
      <w:pPr>
        <w:spacing w:line="360" w:lineRule="auto"/>
        <w:ind w:firstLine="480" w:firstLineChars="200"/>
        <w:rPr>
          <w:sz w:val="24"/>
        </w:rPr>
      </w:pPr>
      <w:r>
        <w:rPr>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bCs/>
          <w:sz w:val="24"/>
        </w:rPr>
        <w:t>基金的投资组合比例为：</w:t>
      </w:r>
      <w:r>
        <w:rPr>
          <w:rFonts w:hint="eastAsia"/>
          <w:bCs/>
          <w:sz w:val="24"/>
        </w:rPr>
        <w:t>股票资产占基金资产的比例不高于30%；债券资产、资产支持证券、债券回购、银行存款、同业存单、货币市场工具等固定收益类资产占基金资产的比例不低于50%；同业存单投资占基金资产的比例不超过20%；每个交易日日终在扣除股指期货合约需缴纳的交易保证金后，应当保持现金或者到期日在一年以内的政府债券不低于基金资产净值的5%，其中</w:t>
      </w:r>
      <w:r>
        <w:rPr>
          <w:bCs/>
          <w:sz w:val="24"/>
        </w:rPr>
        <w:t>现金不包含</w:t>
      </w:r>
      <w:r>
        <w:rPr>
          <w:rFonts w:hint="eastAsia"/>
          <w:bCs/>
          <w:sz w:val="24"/>
        </w:rPr>
        <w:t>结算备付金、存出保证金和应收申购款等；股指期货及其他金融工具的投资比例依照法律法规或监管机构的规定执行。</w:t>
      </w:r>
    </w:p>
    <w:p>
      <w:pPr>
        <w:spacing w:line="360" w:lineRule="auto"/>
        <w:ind w:firstLine="480" w:firstLineChars="200"/>
        <w:rPr>
          <w:bCs/>
          <w:sz w:val="24"/>
        </w:rPr>
      </w:pPr>
      <w:r>
        <w:rPr>
          <w:rFonts w:hint="eastAsia"/>
          <w:bCs/>
          <w:sz w:val="24"/>
        </w:rPr>
        <w:t>如果法律法规对该比例要求有变更的，基金管理人在履行适当程序后，本基金的投资比例相应调整。</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二、投资限制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w:t>
      </w:r>
      <w:r>
        <w:rPr>
          <w:bCs/>
          <w:sz w:val="24"/>
        </w:rPr>
        <w:t>1</w:t>
      </w:r>
      <w:r>
        <w:rPr>
          <w:rFonts w:hint="eastAsia"/>
          <w:bCs/>
          <w:sz w:val="24"/>
        </w:rPr>
        <w:t>）股票投资占基金资产的比例为0-30%；债券资产、资产支持证券、债券回购、银行存款、同业存单、货币市场工具等固定收益类资产占基金资产的比例不低于50%；同业存单投资占基金资产的比例不超过20%；</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保持不低于基金资产净值5％的现金或者到期日在一年以内的政府债券</w:t>
      </w:r>
      <w:r>
        <w:rPr>
          <w:rFonts w:hint="eastAsia"/>
          <w:bCs/>
          <w:sz w:val="24"/>
        </w:rPr>
        <w:t>，其中现金不包括结算备付金、存出保证金和应收申购款等；</w:t>
      </w:r>
    </w:p>
    <w:p>
      <w:pPr>
        <w:spacing w:line="360" w:lineRule="auto"/>
        <w:ind w:firstLine="480" w:firstLineChars="200"/>
        <w:rPr>
          <w:bCs/>
          <w:sz w:val="24"/>
        </w:rPr>
      </w:pPr>
      <w:r>
        <w:rPr>
          <w:rFonts w:hint="eastAsia"/>
          <w:bCs/>
          <w:sz w:val="24"/>
        </w:rPr>
        <w:t>（3）基金参与股指期货交易，应当遵守下列要求：</w:t>
      </w:r>
    </w:p>
    <w:p>
      <w:pPr>
        <w:spacing w:line="360" w:lineRule="auto"/>
        <w:ind w:firstLine="480" w:firstLineChars="200"/>
        <w:rPr>
          <w:bCs/>
          <w:sz w:val="24"/>
        </w:rPr>
      </w:pPr>
      <w:r>
        <w:rPr>
          <w:rFonts w:hint="eastAsia"/>
          <w:bCs/>
          <w:sz w:val="24"/>
        </w:rPr>
        <w:t>a.</w:t>
      </w:r>
      <w:r>
        <w:rPr>
          <w:bCs/>
          <w:sz w:val="24"/>
        </w:rPr>
        <w:t>基金在任何交易日日终，持有的买入股指期货合约价值，不得超过基金资产净值的10%</w:t>
      </w:r>
      <w:r>
        <w:rPr>
          <w:rFonts w:hint="eastAsia"/>
          <w:bCs/>
          <w:sz w:val="24"/>
        </w:rPr>
        <w:t>；</w:t>
      </w:r>
    </w:p>
    <w:p>
      <w:pPr>
        <w:spacing w:line="360" w:lineRule="auto"/>
        <w:ind w:firstLine="480" w:firstLineChars="200"/>
        <w:rPr>
          <w:sz w:val="24"/>
        </w:rPr>
      </w:pPr>
      <w:r>
        <w:rPr>
          <w:rFonts w:hint="eastAsia"/>
          <w:bCs/>
          <w:sz w:val="24"/>
        </w:rPr>
        <w:t>b.</w:t>
      </w:r>
      <w:r>
        <w:rPr>
          <w:bCs/>
          <w:sz w:val="24"/>
        </w:rPr>
        <w:t>基金在任何交易日日终，持有的买入</w:t>
      </w:r>
      <w:r>
        <w:rPr>
          <w:rFonts w:hint="eastAsia"/>
          <w:bCs/>
          <w:sz w:val="24"/>
        </w:rPr>
        <w:t>股指</w:t>
      </w:r>
      <w:r>
        <w:rPr>
          <w:bCs/>
          <w:sz w:val="24"/>
        </w:rPr>
        <w:t>期货合约价值与有价证券市值之和</w:t>
      </w:r>
      <w:r>
        <w:rPr>
          <w:rFonts w:hint="eastAsia"/>
          <w:bCs/>
          <w:sz w:val="24"/>
        </w:rPr>
        <w:t>，</w:t>
      </w:r>
      <w:r>
        <w:rPr>
          <w:bCs/>
          <w:sz w:val="24"/>
        </w:rPr>
        <w:t>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c.基金在任何交易日日终，持有的卖出股指期货合约价值不得超过基金持有的股票总市值的20%；</w:t>
      </w:r>
    </w:p>
    <w:p>
      <w:pPr>
        <w:spacing w:line="360" w:lineRule="auto"/>
        <w:ind w:firstLine="480" w:firstLineChars="20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pPr>
        <w:spacing w:line="360" w:lineRule="auto"/>
        <w:ind w:firstLine="480" w:firstLineChars="200"/>
        <w:rPr>
          <w:bCs/>
          <w:sz w:val="24"/>
        </w:rPr>
      </w:pPr>
      <w:r>
        <w:rPr>
          <w:rFonts w:hint="eastAsia"/>
          <w:bCs/>
          <w:sz w:val="24"/>
        </w:rPr>
        <w:t>e.</w:t>
      </w:r>
      <w:r>
        <w:rPr>
          <w:bCs/>
          <w:sz w:val="24"/>
        </w:rPr>
        <w:t>基金在任何交易日内交易（不包括平仓）的股指期货合约的成交金额不得超过上一交易日基金资产净值的20%</w:t>
      </w:r>
      <w:r>
        <w:rPr>
          <w:rFonts w:hint="eastAsia"/>
          <w:bCs/>
          <w:sz w:val="24"/>
        </w:rPr>
        <w:t>；</w:t>
      </w:r>
    </w:p>
    <w:p>
      <w:pPr>
        <w:spacing w:line="360" w:lineRule="auto"/>
        <w:ind w:firstLine="480" w:firstLineChars="20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，其市值不超过基金资产净值的10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5</w:t>
      </w:r>
      <w:r>
        <w:rPr>
          <w:bCs/>
          <w:sz w:val="24"/>
        </w:rPr>
        <w:t>）本基金管理人管理的全部基金持有一家公司发行的证券，不超过该证券的10%；</w:t>
      </w:r>
    </w:p>
    <w:p>
      <w:pPr>
        <w:spacing w:line="360" w:lineRule="auto"/>
        <w:ind w:firstLine="480" w:firstLineChars="200"/>
        <w:rPr>
          <w:bCs/>
          <w:sz w:val="24"/>
        </w:rPr>
      </w:pPr>
      <w:r>
        <w:rPr>
          <w:bCs/>
          <w:sz w:val="24"/>
        </w:rPr>
        <w:t>（</w:t>
      </w:r>
      <w:r>
        <w:rPr>
          <w:rFonts w:hint="eastAsia"/>
          <w:bCs/>
          <w:sz w:val="24"/>
        </w:rPr>
        <w:t>6</w:t>
      </w:r>
      <w:r>
        <w:rPr>
          <w:bCs/>
          <w:sz w:val="24"/>
        </w:rPr>
        <w:t>）本基金投资于同一原始权益人的各类资产支持证券的比例，不得超过基金资产净值的10%；</w:t>
      </w:r>
    </w:p>
    <w:p>
      <w:pPr>
        <w:spacing w:line="360" w:lineRule="auto"/>
        <w:ind w:firstLine="480" w:firstLineChars="200"/>
        <w:rPr>
          <w:bCs/>
          <w:sz w:val="24"/>
        </w:rPr>
      </w:pPr>
      <w:r>
        <w:rPr>
          <w:bCs/>
          <w:sz w:val="24"/>
        </w:rPr>
        <w:t>（</w:t>
      </w:r>
      <w:r>
        <w:rPr>
          <w:rFonts w:hint="eastAsia"/>
          <w:bCs/>
          <w:sz w:val="24"/>
        </w:rPr>
        <w:t>7</w:t>
      </w:r>
      <w:r>
        <w:rPr>
          <w:bCs/>
          <w:sz w:val="24"/>
        </w:rPr>
        <w:t>）本基金持有的全部资产支持证券，其市值不得超过基金资产净值的20%；</w:t>
      </w:r>
    </w:p>
    <w:p>
      <w:pPr>
        <w:spacing w:line="360" w:lineRule="auto"/>
        <w:ind w:firstLine="480" w:firstLineChars="200"/>
        <w:rPr>
          <w:bCs/>
          <w:sz w:val="24"/>
        </w:rPr>
      </w:pPr>
      <w:r>
        <w:rPr>
          <w:bCs/>
          <w:sz w:val="24"/>
        </w:rPr>
        <w:t>（</w:t>
      </w:r>
      <w:r>
        <w:rPr>
          <w:rFonts w:hint="eastAsia"/>
          <w:bCs/>
          <w:sz w:val="24"/>
        </w:rPr>
        <w:t>8</w:t>
      </w:r>
      <w:r>
        <w:rPr>
          <w:bCs/>
          <w:sz w:val="24"/>
        </w:rPr>
        <w:t>）本基金持有的同一(指同一信用级别)资产支持证券的比例，不得超过该资产支持证券规模的10%；</w:t>
      </w:r>
    </w:p>
    <w:p>
      <w:pPr>
        <w:spacing w:line="360" w:lineRule="auto"/>
        <w:ind w:firstLine="480" w:firstLineChars="20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（1</w:t>
      </w:r>
      <w:r>
        <w:rPr>
          <w:rFonts w:hint="eastAsia"/>
          <w:bCs/>
          <w:sz w:val="24"/>
        </w:rPr>
        <w:t>0</w:t>
      </w:r>
      <w:r>
        <w:rPr>
          <w:bCs/>
          <w:sz w:val="24"/>
        </w:rPr>
        <w:t>）本基金应投资于信用级别评级为BBB以上(含BBB)的资产支持证券。基金持有资产支持证券期间，如果其信用等级下降、不再符合投资标准，应在评级报告发布之日起3个月内予以全部卖出；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w:t>
      </w:r>
      <w:r>
        <w:rPr>
          <w:rFonts w:hint="eastAsia"/>
          <w:bCs/>
          <w:sz w:val="24"/>
        </w:rPr>
        <w:t>1</w:t>
      </w:r>
      <w:r>
        <w:rPr>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（1</w:t>
      </w:r>
      <w:r>
        <w:rPr>
          <w:rFonts w:hint="eastAsia"/>
          <w:bCs/>
          <w:sz w:val="24"/>
        </w:rPr>
        <w:t>2</w:t>
      </w:r>
      <w:r>
        <w:rPr>
          <w:bCs/>
          <w:sz w:val="24"/>
        </w:rPr>
        <w:t>）本基金进入全国银行间同业市场进行债券回购的资金余额不得超过基金资产净值的40%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p>
    <w:p>
      <w:pPr>
        <w:spacing w:line="360" w:lineRule="auto"/>
        <w:ind w:firstLine="480" w:firstLineChars="200"/>
        <w:rPr>
          <w:bCs/>
          <w:sz w:val="24"/>
        </w:rPr>
      </w:pPr>
      <w:r>
        <w:rPr>
          <w:bCs/>
          <w:sz w:val="24"/>
        </w:rPr>
        <w:t>（1</w:t>
      </w:r>
      <w:r>
        <w:rPr>
          <w:rFonts w:hint="eastAsia"/>
          <w:bCs/>
          <w:sz w:val="24"/>
        </w:rPr>
        <w:t>3</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管理人管理的全部开放式基金（包括开放式基金以及处于开放期的定期开放基金）持有一家上市公司发行的可流通股票，不得超过该上市公司可流通股票的15%</w:t>
      </w:r>
      <w:r>
        <w:rPr>
          <w:bCs/>
          <w:sz w:val="24"/>
        </w:rPr>
        <w:t>；</w:t>
      </w:r>
      <w:r>
        <w:rPr>
          <w:rFonts w:hint="eastAsia"/>
          <w:bCs/>
          <w:sz w:val="24"/>
        </w:rPr>
        <w:t>本基金管理人管理的全部投资组合持有一家上市公司发行的可流通股票，不得超过该上市公司可流通股票的30%；</w:t>
      </w:r>
    </w:p>
    <w:p>
      <w:pPr>
        <w:spacing w:line="360" w:lineRule="auto"/>
        <w:ind w:firstLine="480" w:firstLineChars="200"/>
        <w:rPr>
          <w:bCs/>
          <w:sz w:val="24"/>
        </w:rPr>
      </w:pPr>
      <w:r>
        <w:rPr>
          <w:rFonts w:hint="eastAsia"/>
          <w:bCs/>
          <w:sz w:val="24"/>
        </w:rPr>
        <w:t>（14）本基金参与融资业务的，应当遵守下列要求：每个交易日日终，本基金持有的融资买入股票与其他有价证券市值之和，不得超过基金资产净值的95</w:t>
      </w:r>
      <w:r>
        <w:rPr>
          <w:bCs/>
          <w:sz w:val="24"/>
        </w:rPr>
        <w:t>%</w:t>
      </w:r>
      <w:r>
        <w:rPr>
          <w:rFonts w:hint="eastAsia"/>
          <w:bCs/>
          <w:sz w:val="24"/>
        </w:rPr>
        <w:t>；</w:t>
      </w:r>
    </w:p>
    <w:p>
      <w:pPr>
        <w:spacing w:line="360" w:lineRule="auto"/>
        <w:ind w:firstLine="480" w:firstLineChars="200"/>
        <w:rPr>
          <w:bCs/>
          <w:sz w:val="24"/>
        </w:rPr>
      </w:pPr>
      <w:r>
        <w:rPr>
          <w:rFonts w:hint="eastAsia"/>
          <w:bCs/>
          <w:sz w:val="24"/>
        </w:rPr>
        <w:t>（15）</w:t>
      </w:r>
      <w:r>
        <w:rPr>
          <w:bCs/>
          <w:sz w:val="24"/>
        </w:rPr>
        <w:t>本基金主动投资于流动性受限资产的市值合计不得超过该基金资产净值的15%；</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pPr>
        <w:spacing w:line="360" w:lineRule="auto"/>
        <w:ind w:firstLine="480" w:firstLineChars="200"/>
        <w:rPr>
          <w:bCs/>
          <w:sz w:val="24"/>
        </w:rPr>
      </w:pPr>
      <w:r>
        <w:rPr>
          <w:rFonts w:hint="eastAsia"/>
          <w:bCs/>
          <w:sz w:val="24"/>
        </w:rPr>
        <w:t>（16）本基金与私募类证券资管产品及中国证监会认定的其他主体为交易对手开展逆回购交易的，</w:t>
      </w:r>
      <w:r>
        <w:rPr>
          <w:bCs/>
          <w:sz w:val="24"/>
        </w:rPr>
        <w:t>可接受质押品的资质要求应当与本基金合同约定的投资范围保持一致</w:t>
      </w:r>
      <w:r>
        <w:rPr>
          <w:rFonts w:hint="eastAsia"/>
          <w:bCs/>
          <w:sz w:val="24"/>
        </w:rPr>
        <w:t>；</w:t>
      </w:r>
    </w:p>
    <w:p>
      <w:pPr>
        <w:spacing w:line="360" w:lineRule="auto"/>
        <w:ind w:firstLine="480" w:firstLineChars="200"/>
        <w:rPr>
          <w:bCs/>
          <w:sz w:val="24"/>
        </w:rPr>
      </w:pPr>
      <w:r>
        <w:rPr>
          <w:rFonts w:hint="eastAsia"/>
          <w:bCs/>
          <w:sz w:val="24"/>
        </w:rPr>
        <w:t>（17）</w:t>
      </w:r>
      <w:r>
        <w:rPr>
          <w:bCs/>
          <w:sz w:val="24"/>
        </w:rPr>
        <w:t>本基金资产总值不超过基金资产净值的140%；</w:t>
      </w:r>
    </w:p>
    <w:p>
      <w:pPr>
        <w:spacing w:line="360" w:lineRule="auto"/>
        <w:ind w:firstLine="480" w:firstLineChars="200"/>
        <w:rPr>
          <w:bCs/>
          <w:sz w:val="24"/>
        </w:rPr>
      </w:pPr>
      <w:r>
        <w:rPr>
          <w:rFonts w:hint="eastAsia"/>
          <w:bCs/>
          <w:sz w:val="24"/>
        </w:rPr>
        <w:t>（18）本基金投资存托凭证的比例限制依照境内上市交易的股票执行，与境内上市交易的股票合并计算，法律法规或监管部门另有要求的除外；</w:t>
      </w:r>
    </w:p>
    <w:p>
      <w:pPr>
        <w:spacing w:line="360" w:lineRule="auto"/>
        <w:ind w:firstLine="480" w:firstLineChars="200"/>
        <w:rPr>
          <w:bCs/>
          <w:sz w:val="24"/>
        </w:rPr>
      </w:pPr>
      <w:r>
        <w:rPr>
          <w:bCs/>
          <w:sz w:val="24"/>
        </w:rPr>
        <w:t>（1</w:t>
      </w:r>
      <w:r>
        <w:rPr>
          <w:rFonts w:hint="eastAsia"/>
          <w:bCs/>
          <w:sz w:val="24"/>
        </w:rPr>
        <w:t>9</w:t>
      </w:r>
      <w:r>
        <w:rPr>
          <w:bCs/>
          <w:sz w:val="24"/>
        </w:rPr>
        <w:t>）</w:t>
      </w:r>
      <w:r>
        <w:rPr>
          <w:rFonts w:hint="eastAsia"/>
          <w:bCs/>
          <w:sz w:val="24"/>
        </w:rPr>
        <w:t>法律法规及中国证监会规定的和《基金合同》约定的其他投资限制。</w:t>
      </w:r>
    </w:p>
    <w:p>
      <w:pPr>
        <w:spacing w:line="360" w:lineRule="auto"/>
        <w:ind w:firstLine="480" w:firstLineChars="200"/>
        <w:rPr>
          <w:sz w:val="24"/>
        </w:rPr>
      </w:pPr>
      <w:r>
        <w:rPr>
          <w:rFonts w:hint="eastAsia"/>
          <w:bCs/>
          <w:sz w:val="24"/>
        </w:rPr>
        <w:t>除上述第（2）、（10）、（15）、（16）项情形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，但中国证监会规定的特殊情形除外</w:t>
      </w:r>
      <w:r>
        <w:rPr>
          <w:bCs/>
          <w:sz w:val="24"/>
        </w:rPr>
        <w:t>。</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w:t>
      </w:r>
      <w:r>
        <w:rPr>
          <w:bCs/>
          <w:sz w:val="24"/>
        </w:rPr>
        <w:t>本基金的投资范围</w:t>
      </w:r>
      <w:r>
        <w:rPr>
          <w:rFonts w:hint="eastAsia"/>
          <w:bCs/>
          <w:sz w:val="24"/>
        </w:rPr>
        <w:t>、投资策略应当符合基金合同的约定。</w:t>
      </w:r>
      <w:r>
        <w:rPr>
          <w:bCs/>
          <w:sz w:val="24"/>
        </w:rPr>
        <w:t>基金托管人对基金的投资的监督与检查自本基金合同生效之日起开始。</w:t>
      </w:r>
    </w:p>
    <w:p>
      <w:pPr>
        <w:spacing w:line="360" w:lineRule="auto"/>
        <w:ind w:firstLine="480" w:firstLineChars="200"/>
        <w:rPr>
          <w:bCs/>
          <w:sz w:val="24"/>
        </w:rPr>
      </w:pPr>
      <w:r>
        <w:rPr>
          <w:rFonts w:hint="eastAsia"/>
          <w:sz w:val="24"/>
        </w:rPr>
        <w:t>如果法律法规或监管部门对上述投资组合比例限制进行变更的，以变更后的规定为准。</w:t>
      </w:r>
      <w:r>
        <w:rPr>
          <w:bCs/>
          <w:sz w:val="24"/>
        </w:rPr>
        <w:t>法律法规或监管部门取消上述限制</w:t>
      </w:r>
      <w:r>
        <w:rPr>
          <w:rFonts w:hint="eastAsia"/>
          <w:bCs/>
          <w:sz w:val="24"/>
        </w:rPr>
        <w:t>，如适用于本基金，基金管理人在履行适当程序后，</w:t>
      </w:r>
      <w:r>
        <w:rPr>
          <w:bCs/>
          <w:sz w:val="24"/>
        </w:rPr>
        <w:t>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w:t>
      </w:r>
      <w:r>
        <w:rPr>
          <w:rFonts w:hint="eastAsia" w:ascii="宋体" w:hAnsi="宋体"/>
          <w:color w:val="000000"/>
          <w:kern w:val="0"/>
          <w:sz w:val="24"/>
        </w:rPr>
        <w:t>法律、行政法规和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sz w:val="24"/>
        </w:rPr>
      </w:pPr>
      <w:r>
        <w:rPr>
          <w:bCs/>
          <w:sz w:val="24"/>
        </w:rPr>
        <w:t>法律</w:t>
      </w:r>
      <w:r>
        <w:rPr>
          <w:rFonts w:hint="eastAsia" w:ascii="宋体" w:hAnsi="宋体" w:cs="Arial"/>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上述禁止性规定，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bCs/>
          <w:sz w:val="24"/>
        </w:rPr>
      </w:pPr>
      <w:r>
        <w:rPr>
          <w:rFonts w:hint="eastAsia"/>
          <w:b/>
          <w:bCs/>
          <w:sz w:val="24"/>
        </w:rPr>
        <w:t>第六节  基金资产净值的计算方法和公告方式</w:t>
      </w:r>
    </w:p>
    <w:p>
      <w:pPr>
        <w:spacing w:line="360" w:lineRule="auto"/>
        <w:ind w:firstLine="480" w:firstLineChars="200"/>
        <w:rPr>
          <w:rFonts w:ascii="宋体" w:hAnsi="宋体"/>
          <w:sz w:val="24"/>
        </w:rPr>
      </w:pPr>
    </w:p>
    <w:p>
      <w:pPr>
        <w:spacing w:line="360" w:lineRule="auto"/>
        <w:ind w:firstLine="480" w:firstLineChars="200"/>
        <w:rPr>
          <w:bCs/>
          <w:sz w:val="24"/>
        </w:rPr>
      </w:pPr>
      <w:r>
        <w:rPr>
          <w:rFonts w:hint="eastAsia"/>
          <w:bCs/>
          <w:sz w:val="24"/>
        </w:rPr>
        <w:t>一</w:t>
      </w:r>
      <w:r>
        <w:rPr>
          <w:bCs/>
          <w:sz w:val="24"/>
        </w:rPr>
        <w:t>、</w:t>
      </w:r>
      <w:r>
        <w:rPr>
          <w:rFonts w:hint="eastAsia"/>
          <w:bCs/>
          <w:sz w:val="24"/>
        </w:rPr>
        <w:t>计算方法</w:t>
      </w:r>
    </w:p>
    <w:p>
      <w:pPr>
        <w:spacing w:line="360" w:lineRule="auto"/>
        <w:ind w:firstLine="480" w:firstLineChars="200"/>
        <w:rPr>
          <w:bCs/>
          <w:sz w:val="24"/>
        </w:rPr>
      </w:pPr>
      <w:r>
        <w:rPr>
          <w:bCs/>
          <w:sz w:val="24"/>
        </w:rPr>
        <w:t>基金份额净值指计算日基金资产净值除以计算日基金份额总数</w:t>
      </w:r>
      <w:r>
        <w:rPr>
          <w:rFonts w:hint="eastAsia"/>
          <w:bCs/>
          <w:sz w:val="24"/>
        </w:rPr>
        <w:t>。各类</w:t>
      </w:r>
      <w:r>
        <w:rPr>
          <w:bCs/>
          <w:sz w:val="24"/>
        </w:rPr>
        <w:t>基金份额净值是按照每个工作日闭市后，基金资产净值除以当日</w:t>
      </w:r>
      <w:r>
        <w:rPr>
          <w:rFonts w:hint="eastAsia"/>
          <w:bCs/>
          <w:sz w:val="24"/>
        </w:rPr>
        <w:t>该类</w:t>
      </w:r>
      <w:r>
        <w:rPr>
          <w:bCs/>
          <w:sz w:val="24"/>
        </w:rPr>
        <w:t>基金份额的余额数量计算，精确到0.00</w:t>
      </w:r>
      <w:r>
        <w:rPr>
          <w:rFonts w:hint="eastAsia"/>
          <w:bCs/>
          <w:sz w:val="24"/>
        </w:rPr>
        <w:t>0</w:t>
      </w:r>
      <w:r>
        <w:rPr>
          <w:bCs/>
          <w:sz w:val="24"/>
        </w:rPr>
        <w:t>1元，小数点后第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pPr>
        <w:spacing w:line="360" w:lineRule="auto"/>
        <w:ind w:firstLine="480" w:firstLineChars="200"/>
        <w:rPr>
          <w:bCs/>
          <w:sz w:val="24"/>
        </w:rPr>
      </w:pPr>
      <w:r>
        <w:rPr>
          <w:rFonts w:hint="eastAsia"/>
          <w:bCs/>
          <w:sz w:val="24"/>
        </w:rPr>
        <w:t>二</w:t>
      </w:r>
      <w:r>
        <w:rPr>
          <w:bCs/>
          <w:sz w:val="24"/>
        </w:rPr>
        <w:t>、</w:t>
      </w:r>
      <w:r>
        <w:rPr>
          <w:rFonts w:hint="eastAsia"/>
          <w:bCs/>
          <w:sz w:val="24"/>
        </w:rPr>
        <w:t>公告方式</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其</w:t>
      </w:r>
      <w:r>
        <w:rPr>
          <w:bCs/>
          <w:sz w:val="24"/>
        </w:rPr>
        <w:t>规定网站、基金销售机构网站或营业网点披露开放日的</w:t>
      </w:r>
      <w:r>
        <w:rPr>
          <w:rFonts w:hint="eastAsia"/>
          <w:bCs/>
          <w:sz w:val="24"/>
        </w:rPr>
        <w:t>各类</w:t>
      </w:r>
      <w:r>
        <w:rPr>
          <w:bCs/>
          <w:sz w:val="24"/>
        </w:rPr>
        <w:t>基金份额净值和基金份额累计净值。</w:t>
      </w:r>
    </w:p>
    <w:p>
      <w:pPr>
        <w:spacing w:line="360" w:lineRule="auto"/>
        <w:ind w:firstLine="480" w:firstLineChars="200"/>
        <w:rPr>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次日，在规定网站披露半年度和年度最后一日的</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2" w:firstLineChars="200"/>
        <w:rPr>
          <w:rFonts w:ascii="宋体" w:hAnsi="宋体"/>
          <w:sz w:val="24"/>
        </w:rPr>
      </w:pPr>
      <w:r>
        <w:rPr>
          <w:rFonts w:hint="eastAsia"/>
          <w:b/>
          <w:bCs/>
          <w:sz w:val="24"/>
        </w:rPr>
        <w:t>第七节  基金合同解除和终止的事由、程序以及基金财产清算方式</w:t>
      </w:r>
    </w:p>
    <w:p>
      <w:pPr>
        <w:spacing w:line="360" w:lineRule="auto"/>
        <w:ind w:firstLine="480" w:firstLineChars="200"/>
        <w:rPr>
          <w:rFonts w:ascii="宋体" w:hAnsi="宋体"/>
          <w:sz w:val="24"/>
        </w:rPr>
      </w:pPr>
    </w:p>
    <w:p>
      <w:pPr>
        <w:spacing w:line="360" w:lineRule="auto"/>
        <w:ind w:firstLine="480" w:firstLineChars="200"/>
        <w:rPr>
          <w:bCs/>
          <w:sz w:val="24"/>
        </w:rPr>
      </w:pPr>
      <w:r>
        <w:rPr>
          <w:bCs/>
          <w:sz w:val="24"/>
        </w:rPr>
        <w:t>一、《基金合同》的变更</w:t>
      </w:r>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在规定媒介公告。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、《基金合同》约定的其他情形；</w:t>
      </w:r>
    </w:p>
    <w:p>
      <w:pPr>
        <w:spacing w:line="360" w:lineRule="auto"/>
        <w:ind w:firstLine="480" w:firstLineChars="200"/>
        <w:rPr>
          <w:bCs/>
          <w:sz w:val="24"/>
        </w:rPr>
      </w:pPr>
      <w:r>
        <w:rPr>
          <w:rFonts w:hint="eastAsia"/>
          <w:bCs/>
          <w:sz w:val="24"/>
        </w:rPr>
        <w:t>4</w:t>
      </w:r>
      <w:r>
        <w:rPr>
          <w:bCs/>
          <w:sz w:val="24"/>
        </w:rPr>
        <w:t>、相关法律法规和中国证监会规定的其他情况。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6个</w:t>
      </w:r>
      <w:r>
        <w:rPr>
          <w:bCs/>
          <w:sz w:val="24"/>
        </w:rPr>
        <w:t>月</w:t>
      </w:r>
      <w:r>
        <w:rPr>
          <w:rFonts w:hint="eastAsia"/>
          <w:bCs/>
          <w:sz w:val="24"/>
        </w:rPr>
        <w:t>，但因本基金所持证券的流动性受到限制而不能及时变现的，清算期限相应顺延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spacing w:line="360" w:lineRule="auto"/>
        <w:ind w:firstLine="480" w:firstLineChars="200"/>
        <w:rPr>
          <w:rFonts w:ascii="宋体" w:hAnsi="宋体"/>
          <w:sz w:val="24"/>
        </w:rPr>
      </w:pPr>
    </w:p>
    <w:p>
      <w:pPr>
        <w:spacing w:line="360" w:lineRule="auto"/>
        <w:ind w:firstLine="482" w:firstLineChars="200"/>
        <w:rPr>
          <w:rFonts w:ascii="宋体" w:hAnsi="宋体"/>
          <w:sz w:val="24"/>
        </w:rPr>
      </w:pPr>
      <w:r>
        <w:rPr>
          <w:rFonts w:hint="eastAsia"/>
          <w:b/>
          <w:bCs/>
          <w:sz w:val="24"/>
        </w:rPr>
        <w:t>第八节  争议解决方式</w:t>
      </w:r>
    </w:p>
    <w:p>
      <w:pPr>
        <w:spacing w:line="360" w:lineRule="auto"/>
        <w:ind w:firstLine="480" w:firstLineChars="200"/>
        <w:rPr>
          <w:rFonts w:ascii="宋体" w:hAnsi="宋体"/>
          <w:sz w:val="24"/>
        </w:rPr>
      </w:pP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sz w:val="24"/>
        </w:rPr>
        <w:t>任何一方均有权将争议提交</w:t>
      </w:r>
      <w:r>
        <w:rPr>
          <w:rFonts w:hint="eastAsia" w:ascii="宋体" w:hAnsi="宋体" w:cs="Arial"/>
          <w:sz w:val="24"/>
        </w:rPr>
        <w:t>中国国际经济贸易仲裁委员会</w:t>
      </w:r>
      <w:r>
        <w:rPr>
          <w:rFonts w:hint="eastAsia"/>
          <w:sz w:val="24"/>
        </w:rPr>
        <w:t>，按照</w:t>
      </w:r>
      <w:r>
        <w:rPr>
          <w:rFonts w:hint="eastAsia" w:ascii="宋体" w:hAnsi="宋体" w:cs="Arial"/>
          <w:sz w:val="24"/>
        </w:rPr>
        <w:t>中国国际经济贸易仲裁委员会</w:t>
      </w:r>
      <w:r>
        <w:rPr>
          <w:rFonts w:hint="eastAsia"/>
          <w:sz w:val="24"/>
        </w:rPr>
        <w:t>届时有效的仲裁规则进行仲裁。仲裁地点为北京市。仲裁裁决是终局的，对当事人均有约束力。</w:t>
      </w:r>
      <w:r>
        <w:rPr>
          <w:sz w:val="24"/>
        </w:rPr>
        <w:t>除非仲裁裁决另有决定</w:t>
      </w:r>
      <w:r>
        <w:rPr>
          <w:rFonts w:hint="eastAsia"/>
          <w:sz w:val="24"/>
        </w:rPr>
        <w:t>，</w:t>
      </w:r>
      <w:r>
        <w:rPr>
          <w:sz w:val="24"/>
        </w:rPr>
        <w:t>仲裁费用由败诉方承担</w:t>
      </w:r>
      <w:r>
        <w:rPr>
          <w:rFonts w:hint="eastAsia"/>
          <w:sz w:val="24"/>
        </w:rPr>
        <w:t>。</w:t>
      </w:r>
    </w:p>
    <w:p>
      <w:pPr>
        <w:spacing w:line="360" w:lineRule="auto"/>
        <w:ind w:firstLine="480" w:firstLineChars="200"/>
        <w:rPr>
          <w:bCs/>
          <w:sz w:val="24"/>
        </w:rPr>
      </w:pPr>
      <w:r>
        <w:rPr>
          <w:rFonts w:hint="eastAsia" w:ascii="宋体" w:hAnsi="宋体"/>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（为本基金基金合同之目的，不包括香港特别行政区、澳门特别行政区和台湾地区法律）</w:t>
      </w:r>
      <w:r>
        <w:rPr>
          <w:bCs/>
          <w:sz w:val="24"/>
        </w:rPr>
        <w:t>管辖。</w:t>
      </w:r>
    </w:p>
    <w:p>
      <w:pPr>
        <w:spacing w:line="360" w:lineRule="auto"/>
        <w:ind w:firstLine="480" w:firstLineChars="200"/>
        <w:rPr>
          <w:bCs/>
          <w:sz w:val="24"/>
        </w:rPr>
      </w:pPr>
    </w:p>
    <w:p>
      <w:pPr>
        <w:spacing w:line="360" w:lineRule="auto"/>
        <w:ind w:firstLine="480" w:firstLineChars="200"/>
        <w:rPr>
          <w:rFonts w:ascii="宋体" w:hAnsi="宋体"/>
          <w:sz w:val="24"/>
        </w:rPr>
      </w:pPr>
    </w:p>
    <w:p>
      <w:pPr>
        <w:spacing w:line="360" w:lineRule="auto"/>
        <w:ind w:firstLine="482" w:firstLineChars="200"/>
        <w:rPr>
          <w:b/>
          <w:bCs/>
          <w:sz w:val="24"/>
        </w:rPr>
      </w:pPr>
      <w:r>
        <w:rPr>
          <w:rFonts w:hint="eastAsia"/>
          <w:b/>
          <w:bCs/>
          <w:sz w:val="24"/>
        </w:rPr>
        <w:t>第九节  基金合同存放地和投资人取得基金合同的方式</w:t>
      </w:r>
    </w:p>
    <w:p>
      <w:pPr>
        <w:spacing w:line="360" w:lineRule="auto"/>
        <w:ind w:firstLine="480" w:firstLineChars="200"/>
        <w:rPr>
          <w:sz w:val="24"/>
        </w:rPr>
      </w:pPr>
    </w:p>
    <w:p>
      <w:pPr>
        <w:spacing w:line="360" w:lineRule="auto"/>
        <w:ind w:firstLine="480" w:firstLineChars="200"/>
        <w:rPr>
          <w:sz w:val="24"/>
        </w:rPr>
      </w:pPr>
      <w:r>
        <w:rPr>
          <w:rFonts w:hint="eastAsia"/>
          <w:sz w:val="24"/>
        </w:rPr>
        <w:t>《基金合同》可印制成册，</w:t>
      </w:r>
      <w:r>
        <w:rPr>
          <w:sz w:val="24"/>
        </w:rPr>
        <w:t>供投资者在基金管理人</w:t>
      </w:r>
      <w:r>
        <w:rPr>
          <w:rFonts w:hint="eastAsia"/>
          <w:sz w:val="24"/>
        </w:rPr>
        <w:t>、基金托管人、销售机构的办公场所和营业场所查阅。</w:t>
      </w:r>
    </w:p>
    <w:p/>
    <w:p>
      <w:pPr>
        <w:widowControl/>
        <w:jc w:val="left"/>
        <w:rPr>
          <w:bCs/>
        </w:rPr>
      </w:pP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2"/>
        <w:rFonts w:hint="eastAsia"/>
      </w:rPr>
      <w:instrText xml:space="preserve"> PAGE  </w:instrText>
    </w:r>
    <w:r>
      <w:rPr>
        <w:rFonts w:hint="eastAsia"/>
      </w:rPr>
      <w:fldChar w:fldCharType="separate"/>
    </w:r>
    <w:r>
      <w:rPr>
        <w:rStyle w:val="22"/>
      </w:rPr>
      <w:t>2</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p>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2"/>
        <w:rFonts w:hint="eastAsia"/>
      </w:rPr>
      <w:instrText xml:space="preserve"> PAGE  </w:instrText>
    </w:r>
    <w:r>
      <w:rPr>
        <w:rFonts w:hint="eastAsia"/>
      </w:rPr>
      <w:fldChar w:fldCharType="separate"/>
    </w:r>
    <w:r>
      <w:rPr>
        <w:rStyle w:val="22"/>
      </w:rPr>
      <w:t>12</w:t>
    </w:r>
    <w:r>
      <w:rPr>
        <w:rFonts w:hint="eastAsia"/>
      </w:rPr>
      <w:fldChar w:fldCharType="end"/>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pPr>
    <w:r>
      <w:rPr>
        <w:rFonts w:hint="eastAsia"/>
      </w:rPr>
      <w:t xml:space="preserve">华安添福18个月持有期混合型证券投资基金                              </w:t>
    </w:r>
    <w:r>
      <w:t xml:space="preserve">        </w:t>
    </w:r>
    <w:r>
      <w:rPr>
        <w:rFonts w:hint="eastAsia"/>
      </w:rPr>
      <w:t xml:space="preserve"> </w:t>
    </w:r>
    <w:r>
      <w:t xml:space="preserve">     </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6"/>
    <w:rsid w:val="000010DA"/>
    <w:rsid w:val="00001DA8"/>
    <w:rsid w:val="0000478B"/>
    <w:rsid w:val="0000639C"/>
    <w:rsid w:val="00006F83"/>
    <w:rsid w:val="00007676"/>
    <w:rsid w:val="000127B4"/>
    <w:rsid w:val="00013296"/>
    <w:rsid w:val="00014613"/>
    <w:rsid w:val="00014C48"/>
    <w:rsid w:val="000158A0"/>
    <w:rsid w:val="00015976"/>
    <w:rsid w:val="000159E0"/>
    <w:rsid w:val="00015D77"/>
    <w:rsid w:val="00015FC6"/>
    <w:rsid w:val="00017752"/>
    <w:rsid w:val="0002272D"/>
    <w:rsid w:val="00026C48"/>
    <w:rsid w:val="00026CDC"/>
    <w:rsid w:val="000278A0"/>
    <w:rsid w:val="00030733"/>
    <w:rsid w:val="00030BF3"/>
    <w:rsid w:val="0003312F"/>
    <w:rsid w:val="00034984"/>
    <w:rsid w:val="00034E26"/>
    <w:rsid w:val="000407EE"/>
    <w:rsid w:val="00043475"/>
    <w:rsid w:val="00044A03"/>
    <w:rsid w:val="00046950"/>
    <w:rsid w:val="00050E0D"/>
    <w:rsid w:val="0005298A"/>
    <w:rsid w:val="00052F7E"/>
    <w:rsid w:val="00054BBA"/>
    <w:rsid w:val="00054D6F"/>
    <w:rsid w:val="00055B5C"/>
    <w:rsid w:val="0005717B"/>
    <w:rsid w:val="000611B5"/>
    <w:rsid w:val="00061375"/>
    <w:rsid w:val="000653D0"/>
    <w:rsid w:val="000700D5"/>
    <w:rsid w:val="00070E3C"/>
    <w:rsid w:val="00070ED8"/>
    <w:rsid w:val="0007430E"/>
    <w:rsid w:val="00074983"/>
    <w:rsid w:val="00075178"/>
    <w:rsid w:val="0007536D"/>
    <w:rsid w:val="0007553B"/>
    <w:rsid w:val="00076A3D"/>
    <w:rsid w:val="00076F8E"/>
    <w:rsid w:val="00077A45"/>
    <w:rsid w:val="00080CC7"/>
    <w:rsid w:val="00080D95"/>
    <w:rsid w:val="0008117A"/>
    <w:rsid w:val="00084252"/>
    <w:rsid w:val="00084731"/>
    <w:rsid w:val="00090AA9"/>
    <w:rsid w:val="00091211"/>
    <w:rsid w:val="000933AE"/>
    <w:rsid w:val="00094CE3"/>
    <w:rsid w:val="00096315"/>
    <w:rsid w:val="0009756C"/>
    <w:rsid w:val="00097DA8"/>
    <w:rsid w:val="000A0FEC"/>
    <w:rsid w:val="000A163D"/>
    <w:rsid w:val="000A175B"/>
    <w:rsid w:val="000A2523"/>
    <w:rsid w:val="000A4704"/>
    <w:rsid w:val="000B0345"/>
    <w:rsid w:val="000B136E"/>
    <w:rsid w:val="000B5930"/>
    <w:rsid w:val="000B5A33"/>
    <w:rsid w:val="000B67C1"/>
    <w:rsid w:val="000B6F9D"/>
    <w:rsid w:val="000B7837"/>
    <w:rsid w:val="000C2910"/>
    <w:rsid w:val="000C5C4B"/>
    <w:rsid w:val="000C6D06"/>
    <w:rsid w:val="000D09AA"/>
    <w:rsid w:val="000D1754"/>
    <w:rsid w:val="000D292C"/>
    <w:rsid w:val="000D2D9E"/>
    <w:rsid w:val="000D5B32"/>
    <w:rsid w:val="000D600B"/>
    <w:rsid w:val="000D6A99"/>
    <w:rsid w:val="000D7AD0"/>
    <w:rsid w:val="000E1537"/>
    <w:rsid w:val="000E29F5"/>
    <w:rsid w:val="000F064E"/>
    <w:rsid w:val="000F1849"/>
    <w:rsid w:val="000F1F8A"/>
    <w:rsid w:val="000F5156"/>
    <w:rsid w:val="00101E44"/>
    <w:rsid w:val="001024DF"/>
    <w:rsid w:val="00104D3A"/>
    <w:rsid w:val="00110703"/>
    <w:rsid w:val="00111052"/>
    <w:rsid w:val="00111AB2"/>
    <w:rsid w:val="00113FB5"/>
    <w:rsid w:val="00115F58"/>
    <w:rsid w:val="00116633"/>
    <w:rsid w:val="0011794A"/>
    <w:rsid w:val="00117C0E"/>
    <w:rsid w:val="001204F0"/>
    <w:rsid w:val="001214F1"/>
    <w:rsid w:val="00123786"/>
    <w:rsid w:val="00124D3E"/>
    <w:rsid w:val="00125385"/>
    <w:rsid w:val="00126697"/>
    <w:rsid w:val="00131D52"/>
    <w:rsid w:val="0013343A"/>
    <w:rsid w:val="00133C0D"/>
    <w:rsid w:val="001347EF"/>
    <w:rsid w:val="0013535D"/>
    <w:rsid w:val="001427FC"/>
    <w:rsid w:val="001522C2"/>
    <w:rsid w:val="00153481"/>
    <w:rsid w:val="001547CC"/>
    <w:rsid w:val="00154F55"/>
    <w:rsid w:val="00157F81"/>
    <w:rsid w:val="00161ACF"/>
    <w:rsid w:val="001712CD"/>
    <w:rsid w:val="00171A75"/>
    <w:rsid w:val="00172A27"/>
    <w:rsid w:val="001733A7"/>
    <w:rsid w:val="00174EB5"/>
    <w:rsid w:val="00175041"/>
    <w:rsid w:val="00175223"/>
    <w:rsid w:val="00177C11"/>
    <w:rsid w:val="00177C6E"/>
    <w:rsid w:val="00184C98"/>
    <w:rsid w:val="0018760E"/>
    <w:rsid w:val="00192B9B"/>
    <w:rsid w:val="00192BDE"/>
    <w:rsid w:val="00192C84"/>
    <w:rsid w:val="001969C2"/>
    <w:rsid w:val="001A38B2"/>
    <w:rsid w:val="001A503C"/>
    <w:rsid w:val="001A7584"/>
    <w:rsid w:val="001B0F72"/>
    <w:rsid w:val="001B13D2"/>
    <w:rsid w:val="001B20E9"/>
    <w:rsid w:val="001B332B"/>
    <w:rsid w:val="001B4822"/>
    <w:rsid w:val="001B530F"/>
    <w:rsid w:val="001C0E85"/>
    <w:rsid w:val="001C11BE"/>
    <w:rsid w:val="001C1E38"/>
    <w:rsid w:val="001C2FB3"/>
    <w:rsid w:val="001C4814"/>
    <w:rsid w:val="001C482B"/>
    <w:rsid w:val="001C681A"/>
    <w:rsid w:val="001C79FD"/>
    <w:rsid w:val="001D0A27"/>
    <w:rsid w:val="001D1E8D"/>
    <w:rsid w:val="001D2B9F"/>
    <w:rsid w:val="001D2EF2"/>
    <w:rsid w:val="001D4765"/>
    <w:rsid w:val="001D5C6B"/>
    <w:rsid w:val="001E036F"/>
    <w:rsid w:val="001E0AFB"/>
    <w:rsid w:val="001E1266"/>
    <w:rsid w:val="001E52EC"/>
    <w:rsid w:val="001E55BC"/>
    <w:rsid w:val="001F1320"/>
    <w:rsid w:val="001F1526"/>
    <w:rsid w:val="001F169C"/>
    <w:rsid w:val="001F34E7"/>
    <w:rsid w:val="001F5A58"/>
    <w:rsid w:val="001F6F23"/>
    <w:rsid w:val="001F7872"/>
    <w:rsid w:val="002001EB"/>
    <w:rsid w:val="00201259"/>
    <w:rsid w:val="00201E02"/>
    <w:rsid w:val="00205AAA"/>
    <w:rsid w:val="0020629C"/>
    <w:rsid w:val="002062DA"/>
    <w:rsid w:val="00207284"/>
    <w:rsid w:val="00207B3B"/>
    <w:rsid w:val="00213142"/>
    <w:rsid w:val="0021461F"/>
    <w:rsid w:val="00215FC5"/>
    <w:rsid w:val="0021787C"/>
    <w:rsid w:val="002178A3"/>
    <w:rsid w:val="00220602"/>
    <w:rsid w:val="002208C5"/>
    <w:rsid w:val="0022200C"/>
    <w:rsid w:val="00223972"/>
    <w:rsid w:val="0022690D"/>
    <w:rsid w:val="00227650"/>
    <w:rsid w:val="0023012C"/>
    <w:rsid w:val="00230398"/>
    <w:rsid w:val="00235A1A"/>
    <w:rsid w:val="00236435"/>
    <w:rsid w:val="00237B24"/>
    <w:rsid w:val="00237C41"/>
    <w:rsid w:val="00237F66"/>
    <w:rsid w:val="002401C9"/>
    <w:rsid w:val="002415D5"/>
    <w:rsid w:val="00244C88"/>
    <w:rsid w:val="00244FEA"/>
    <w:rsid w:val="002456A6"/>
    <w:rsid w:val="0025086C"/>
    <w:rsid w:val="00251D10"/>
    <w:rsid w:val="0025563E"/>
    <w:rsid w:val="00260AD6"/>
    <w:rsid w:val="00261FC9"/>
    <w:rsid w:val="002631A9"/>
    <w:rsid w:val="00265D65"/>
    <w:rsid w:val="00265F6F"/>
    <w:rsid w:val="00270433"/>
    <w:rsid w:val="00270EAB"/>
    <w:rsid w:val="00270F2A"/>
    <w:rsid w:val="002718AC"/>
    <w:rsid w:val="00271FDD"/>
    <w:rsid w:val="002800BB"/>
    <w:rsid w:val="00283E2A"/>
    <w:rsid w:val="00284D96"/>
    <w:rsid w:val="00285C9A"/>
    <w:rsid w:val="0029282F"/>
    <w:rsid w:val="002938F6"/>
    <w:rsid w:val="002954A8"/>
    <w:rsid w:val="00295C85"/>
    <w:rsid w:val="00295D2E"/>
    <w:rsid w:val="00296718"/>
    <w:rsid w:val="002974AD"/>
    <w:rsid w:val="002974C2"/>
    <w:rsid w:val="00297EC7"/>
    <w:rsid w:val="002A585C"/>
    <w:rsid w:val="002A6F6D"/>
    <w:rsid w:val="002B05AA"/>
    <w:rsid w:val="002B3A5F"/>
    <w:rsid w:val="002B4877"/>
    <w:rsid w:val="002B5E88"/>
    <w:rsid w:val="002C0C85"/>
    <w:rsid w:val="002C1CBE"/>
    <w:rsid w:val="002C1DAF"/>
    <w:rsid w:val="002C3BEB"/>
    <w:rsid w:val="002C525D"/>
    <w:rsid w:val="002C7D4B"/>
    <w:rsid w:val="002D15EE"/>
    <w:rsid w:val="002D1C41"/>
    <w:rsid w:val="002D3450"/>
    <w:rsid w:val="002D5754"/>
    <w:rsid w:val="002E14EE"/>
    <w:rsid w:val="002E17E2"/>
    <w:rsid w:val="002E1EAD"/>
    <w:rsid w:val="002E2495"/>
    <w:rsid w:val="002E5515"/>
    <w:rsid w:val="002E6BAF"/>
    <w:rsid w:val="002E783E"/>
    <w:rsid w:val="002E7F6D"/>
    <w:rsid w:val="002F2F8B"/>
    <w:rsid w:val="002F34A0"/>
    <w:rsid w:val="002F592B"/>
    <w:rsid w:val="002F5B4F"/>
    <w:rsid w:val="002F783E"/>
    <w:rsid w:val="00301254"/>
    <w:rsid w:val="0030143A"/>
    <w:rsid w:val="00302DC1"/>
    <w:rsid w:val="00304338"/>
    <w:rsid w:val="0030620C"/>
    <w:rsid w:val="00306DEA"/>
    <w:rsid w:val="003127A5"/>
    <w:rsid w:val="00314F52"/>
    <w:rsid w:val="00315BE9"/>
    <w:rsid w:val="0031605C"/>
    <w:rsid w:val="00316F06"/>
    <w:rsid w:val="00320ECB"/>
    <w:rsid w:val="003234DF"/>
    <w:rsid w:val="0032354C"/>
    <w:rsid w:val="003249A7"/>
    <w:rsid w:val="00333164"/>
    <w:rsid w:val="00333616"/>
    <w:rsid w:val="00333644"/>
    <w:rsid w:val="0033454E"/>
    <w:rsid w:val="00334FFE"/>
    <w:rsid w:val="00336AEF"/>
    <w:rsid w:val="00337AB0"/>
    <w:rsid w:val="00337D1A"/>
    <w:rsid w:val="00342321"/>
    <w:rsid w:val="003431CB"/>
    <w:rsid w:val="003433C3"/>
    <w:rsid w:val="00344425"/>
    <w:rsid w:val="003459CA"/>
    <w:rsid w:val="003540B5"/>
    <w:rsid w:val="00354B1A"/>
    <w:rsid w:val="00354CEE"/>
    <w:rsid w:val="00355484"/>
    <w:rsid w:val="00360AA1"/>
    <w:rsid w:val="00360CBB"/>
    <w:rsid w:val="00361081"/>
    <w:rsid w:val="003611DD"/>
    <w:rsid w:val="00361F52"/>
    <w:rsid w:val="00363B23"/>
    <w:rsid w:val="00364D29"/>
    <w:rsid w:val="00365A6A"/>
    <w:rsid w:val="00365E5A"/>
    <w:rsid w:val="00366079"/>
    <w:rsid w:val="00370BE1"/>
    <w:rsid w:val="00370FED"/>
    <w:rsid w:val="00373A4C"/>
    <w:rsid w:val="00373C4C"/>
    <w:rsid w:val="003743C1"/>
    <w:rsid w:val="003776ED"/>
    <w:rsid w:val="00380D30"/>
    <w:rsid w:val="003826A0"/>
    <w:rsid w:val="00383F30"/>
    <w:rsid w:val="003852B0"/>
    <w:rsid w:val="003853D5"/>
    <w:rsid w:val="0038579A"/>
    <w:rsid w:val="00387213"/>
    <w:rsid w:val="003921BA"/>
    <w:rsid w:val="00392EE6"/>
    <w:rsid w:val="0039353B"/>
    <w:rsid w:val="00393CB0"/>
    <w:rsid w:val="00396ADA"/>
    <w:rsid w:val="00396FB3"/>
    <w:rsid w:val="003A09BD"/>
    <w:rsid w:val="003A0A43"/>
    <w:rsid w:val="003A11F1"/>
    <w:rsid w:val="003A239B"/>
    <w:rsid w:val="003A2D3F"/>
    <w:rsid w:val="003A30E7"/>
    <w:rsid w:val="003A51EF"/>
    <w:rsid w:val="003A5AD9"/>
    <w:rsid w:val="003A5B46"/>
    <w:rsid w:val="003A6717"/>
    <w:rsid w:val="003B0DE9"/>
    <w:rsid w:val="003B1484"/>
    <w:rsid w:val="003B3090"/>
    <w:rsid w:val="003B3910"/>
    <w:rsid w:val="003B5614"/>
    <w:rsid w:val="003B6E2F"/>
    <w:rsid w:val="003C0D80"/>
    <w:rsid w:val="003C176F"/>
    <w:rsid w:val="003C6A08"/>
    <w:rsid w:val="003C7DE1"/>
    <w:rsid w:val="003D2914"/>
    <w:rsid w:val="003D2AB5"/>
    <w:rsid w:val="003D2B25"/>
    <w:rsid w:val="003D6252"/>
    <w:rsid w:val="003D62FE"/>
    <w:rsid w:val="003E1478"/>
    <w:rsid w:val="003E1B2E"/>
    <w:rsid w:val="003E1C25"/>
    <w:rsid w:val="003E284E"/>
    <w:rsid w:val="003E4419"/>
    <w:rsid w:val="003E6922"/>
    <w:rsid w:val="003E6C61"/>
    <w:rsid w:val="003E746F"/>
    <w:rsid w:val="003F177E"/>
    <w:rsid w:val="003F1D25"/>
    <w:rsid w:val="003F1DCF"/>
    <w:rsid w:val="003F2151"/>
    <w:rsid w:val="003F39E3"/>
    <w:rsid w:val="003F4E0E"/>
    <w:rsid w:val="003F62DC"/>
    <w:rsid w:val="003F68D0"/>
    <w:rsid w:val="00401C88"/>
    <w:rsid w:val="0040203B"/>
    <w:rsid w:val="00402FA2"/>
    <w:rsid w:val="00404227"/>
    <w:rsid w:val="0040460C"/>
    <w:rsid w:val="00405AF3"/>
    <w:rsid w:val="00406E66"/>
    <w:rsid w:val="00411246"/>
    <w:rsid w:val="00412B3D"/>
    <w:rsid w:val="00415C81"/>
    <w:rsid w:val="0041640C"/>
    <w:rsid w:val="00416830"/>
    <w:rsid w:val="00417B08"/>
    <w:rsid w:val="0042034B"/>
    <w:rsid w:val="00422B95"/>
    <w:rsid w:val="004265C0"/>
    <w:rsid w:val="00427785"/>
    <w:rsid w:val="00436292"/>
    <w:rsid w:val="00440A14"/>
    <w:rsid w:val="004411DA"/>
    <w:rsid w:val="00441F70"/>
    <w:rsid w:val="00442DF4"/>
    <w:rsid w:val="004444B4"/>
    <w:rsid w:val="004545DA"/>
    <w:rsid w:val="00454B78"/>
    <w:rsid w:val="00456B6F"/>
    <w:rsid w:val="00460250"/>
    <w:rsid w:val="00460D35"/>
    <w:rsid w:val="004617FB"/>
    <w:rsid w:val="0046233B"/>
    <w:rsid w:val="0046369A"/>
    <w:rsid w:val="00463BEA"/>
    <w:rsid w:val="00470935"/>
    <w:rsid w:val="00471422"/>
    <w:rsid w:val="004724C7"/>
    <w:rsid w:val="004733EB"/>
    <w:rsid w:val="004760E2"/>
    <w:rsid w:val="00482168"/>
    <w:rsid w:val="0049037A"/>
    <w:rsid w:val="00491128"/>
    <w:rsid w:val="00493362"/>
    <w:rsid w:val="00497A32"/>
    <w:rsid w:val="00497F29"/>
    <w:rsid w:val="004A03A5"/>
    <w:rsid w:val="004A0E24"/>
    <w:rsid w:val="004A4AF1"/>
    <w:rsid w:val="004A4CAC"/>
    <w:rsid w:val="004A6AF8"/>
    <w:rsid w:val="004B0555"/>
    <w:rsid w:val="004B0F10"/>
    <w:rsid w:val="004B21BD"/>
    <w:rsid w:val="004B341A"/>
    <w:rsid w:val="004B53E5"/>
    <w:rsid w:val="004B58D7"/>
    <w:rsid w:val="004B67CE"/>
    <w:rsid w:val="004C0E2C"/>
    <w:rsid w:val="004C59EC"/>
    <w:rsid w:val="004C6084"/>
    <w:rsid w:val="004D012C"/>
    <w:rsid w:val="004D13E4"/>
    <w:rsid w:val="004D1485"/>
    <w:rsid w:val="004D2726"/>
    <w:rsid w:val="004D3307"/>
    <w:rsid w:val="004D5E57"/>
    <w:rsid w:val="004D6D87"/>
    <w:rsid w:val="004D7916"/>
    <w:rsid w:val="004E0169"/>
    <w:rsid w:val="004E709A"/>
    <w:rsid w:val="004F23A7"/>
    <w:rsid w:val="004F3123"/>
    <w:rsid w:val="004F5013"/>
    <w:rsid w:val="004F62AF"/>
    <w:rsid w:val="004F7821"/>
    <w:rsid w:val="004F7E33"/>
    <w:rsid w:val="00502FEB"/>
    <w:rsid w:val="0050449F"/>
    <w:rsid w:val="00505C09"/>
    <w:rsid w:val="00511F92"/>
    <w:rsid w:val="0051325D"/>
    <w:rsid w:val="00513C3F"/>
    <w:rsid w:val="00514030"/>
    <w:rsid w:val="005147E3"/>
    <w:rsid w:val="00514E55"/>
    <w:rsid w:val="00515EAC"/>
    <w:rsid w:val="00517BA3"/>
    <w:rsid w:val="0052033D"/>
    <w:rsid w:val="00521431"/>
    <w:rsid w:val="005231AD"/>
    <w:rsid w:val="00523ABD"/>
    <w:rsid w:val="00523BB7"/>
    <w:rsid w:val="00523ED2"/>
    <w:rsid w:val="00524D63"/>
    <w:rsid w:val="00525ABD"/>
    <w:rsid w:val="00531ADE"/>
    <w:rsid w:val="005332F3"/>
    <w:rsid w:val="005351E2"/>
    <w:rsid w:val="00535A31"/>
    <w:rsid w:val="00536D51"/>
    <w:rsid w:val="005375C9"/>
    <w:rsid w:val="005451C4"/>
    <w:rsid w:val="00545F46"/>
    <w:rsid w:val="00547A3C"/>
    <w:rsid w:val="00547E20"/>
    <w:rsid w:val="00550AAD"/>
    <w:rsid w:val="00551D77"/>
    <w:rsid w:val="005529D3"/>
    <w:rsid w:val="005531EC"/>
    <w:rsid w:val="005535D0"/>
    <w:rsid w:val="00553C31"/>
    <w:rsid w:val="00555B0A"/>
    <w:rsid w:val="00556006"/>
    <w:rsid w:val="00562202"/>
    <w:rsid w:val="00563379"/>
    <w:rsid w:val="00564C1D"/>
    <w:rsid w:val="005665E9"/>
    <w:rsid w:val="00570292"/>
    <w:rsid w:val="0057206F"/>
    <w:rsid w:val="00572450"/>
    <w:rsid w:val="00574454"/>
    <w:rsid w:val="005753B6"/>
    <w:rsid w:val="005754AB"/>
    <w:rsid w:val="00575574"/>
    <w:rsid w:val="005762DB"/>
    <w:rsid w:val="00577A97"/>
    <w:rsid w:val="00583D80"/>
    <w:rsid w:val="00585AFF"/>
    <w:rsid w:val="0058732D"/>
    <w:rsid w:val="00587532"/>
    <w:rsid w:val="005875A2"/>
    <w:rsid w:val="00587799"/>
    <w:rsid w:val="0059093E"/>
    <w:rsid w:val="005924F8"/>
    <w:rsid w:val="00592DEA"/>
    <w:rsid w:val="00595F28"/>
    <w:rsid w:val="00597B0A"/>
    <w:rsid w:val="005A1D06"/>
    <w:rsid w:val="005A223C"/>
    <w:rsid w:val="005A2511"/>
    <w:rsid w:val="005A254F"/>
    <w:rsid w:val="005A2E69"/>
    <w:rsid w:val="005A6B36"/>
    <w:rsid w:val="005A77F2"/>
    <w:rsid w:val="005A7C02"/>
    <w:rsid w:val="005A7CBA"/>
    <w:rsid w:val="005B028A"/>
    <w:rsid w:val="005B0F75"/>
    <w:rsid w:val="005B2032"/>
    <w:rsid w:val="005B2841"/>
    <w:rsid w:val="005B2A51"/>
    <w:rsid w:val="005B3041"/>
    <w:rsid w:val="005B5B32"/>
    <w:rsid w:val="005B73D6"/>
    <w:rsid w:val="005B75EB"/>
    <w:rsid w:val="005C0FC1"/>
    <w:rsid w:val="005C147B"/>
    <w:rsid w:val="005C307E"/>
    <w:rsid w:val="005C512B"/>
    <w:rsid w:val="005C573C"/>
    <w:rsid w:val="005C6EF8"/>
    <w:rsid w:val="005D0491"/>
    <w:rsid w:val="005D2477"/>
    <w:rsid w:val="005D2C1F"/>
    <w:rsid w:val="005D4445"/>
    <w:rsid w:val="005D4EDE"/>
    <w:rsid w:val="005D6A43"/>
    <w:rsid w:val="005E07A3"/>
    <w:rsid w:val="005E1BE3"/>
    <w:rsid w:val="005E28F5"/>
    <w:rsid w:val="005E397C"/>
    <w:rsid w:val="005E4240"/>
    <w:rsid w:val="005E570F"/>
    <w:rsid w:val="005E654B"/>
    <w:rsid w:val="005E7B66"/>
    <w:rsid w:val="005F0906"/>
    <w:rsid w:val="005F202B"/>
    <w:rsid w:val="005F235E"/>
    <w:rsid w:val="005F3488"/>
    <w:rsid w:val="005F4DF5"/>
    <w:rsid w:val="005F5E99"/>
    <w:rsid w:val="00601197"/>
    <w:rsid w:val="00602CDB"/>
    <w:rsid w:val="00602E37"/>
    <w:rsid w:val="00605868"/>
    <w:rsid w:val="0061213D"/>
    <w:rsid w:val="0061249C"/>
    <w:rsid w:val="0061569D"/>
    <w:rsid w:val="00620BCC"/>
    <w:rsid w:val="006236D8"/>
    <w:rsid w:val="00623F9A"/>
    <w:rsid w:val="00625E3D"/>
    <w:rsid w:val="00625E57"/>
    <w:rsid w:val="006300C2"/>
    <w:rsid w:val="0063055B"/>
    <w:rsid w:val="00631535"/>
    <w:rsid w:val="0063570D"/>
    <w:rsid w:val="00636B23"/>
    <w:rsid w:val="00637100"/>
    <w:rsid w:val="00637FA2"/>
    <w:rsid w:val="006422C0"/>
    <w:rsid w:val="006431B9"/>
    <w:rsid w:val="00643D88"/>
    <w:rsid w:val="006515E5"/>
    <w:rsid w:val="00652AC1"/>
    <w:rsid w:val="00653002"/>
    <w:rsid w:val="0065606A"/>
    <w:rsid w:val="006570F1"/>
    <w:rsid w:val="006610E5"/>
    <w:rsid w:val="006615E5"/>
    <w:rsid w:val="00661CFA"/>
    <w:rsid w:val="00663960"/>
    <w:rsid w:val="00665A4C"/>
    <w:rsid w:val="00666296"/>
    <w:rsid w:val="00670381"/>
    <w:rsid w:val="006730D0"/>
    <w:rsid w:val="006737AB"/>
    <w:rsid w:val="00673C69"/>
    <w:rsid w:val="00673F77"/>
    <w:rsid w:val="0067504D"/>
    <w:rsid w:val="006810DE"/>
    <w:rsid w:val="006819DE"/>
    <w:rsid w:val="00685E99"/>
    <w:rsid w:val="0068788A"/>
    <w:rsid w:val="00690807"/>
    <w:rsid w:val="00690D26"/>
    <w:rsid w:val="00691AC1"/>
    <w:rsid w:val="00691F0A"/>
    <w:rsid w:val="00693AF1"/>
    <w:rsid w:val="00693F2F"/>
    <w:rsid w:val="00694ACD"/>
    <w:rsid w:val="00694B79"/>
    <w:rsid w:val="00695860"/>
    <w:rsid w:val="006A0107"/>
    <w:rsid w:val="006A496B"/>
    <w:rsid w:val="006A58C5"/>
    <w:rsid w:val="006A6A3C"/>
    <w:rsid w:val="006A70DD"/>
    <w:rsid w:val="006B1AE8"/>
    <w:rsid w:val="006B3A19"/>
    <w:rsid w:val="006B49D7"/>
    <w:rsid w:val="006B616D"/>
    <w:rsid w:val="006B67A4"/>
    <w:rsid w:val="006B727B"/>
    <w:rsid w:val="006C045E"/>
    <w:rsid w:val="006C1B26"/>
    <w:rsid w:val="006C35DF"/>
    <w:rsid w:val="006C4068"/>
    <w:rsid w:val="006C4F2E"/>
    <w:rsid w:val="006C4F91"/>
    <w:rsid w:val="006C6FD0"/>
    <w:rsid w:val="006D0B96"/>
    <w:rsid w:val="006D1DA3"/>
    <w:rsid w:val="006D5F6A"/>
    <w:rsid w:val="006D7AF8"/>
    <w:rsid w:val="006D7CFF"/>
    <w:rsid w:val="006E0B61"/>
    <w:rsid w:val="006E2D2B"/>
    <w:rsid w:val="006E3868"/>
    <w:rsid w:val="006E3E3D"/>
    <w:rsid w:val="006E4FFD"/>
    <w:rsid w:val="006F1851"/>
    <w:rsid w:val="006F1BBD"/>
    <w:rsid w:val="006F1CA8"/>
    <w:rsid w:val="006F20B6"/>
    <w:rsid w:val="006F2245"/>
    <w:rsid w:val="006F253C"/>
    <w:rsid w:val="006F2773"/>
    <w:rsid w:val="007032FF"/>
    <w:rsid w:val="00703704"/>
    <w:rsid w:val="00705A40"/>
    <w:rsid w:val="00705F3D"/>
    <w:rsid w:val="0071298A"/>
    <w:rsid w:val="007131AE"/>
    <w:rsid w:val="007136B4"/>
    <w:rsid w:val="00717EE4"/>
    <w:rsid w:val="00717EE6"/>
    <w:rsid w:val="007200B6"/>
    <w:rsid w:val="0072202E"/>
    <w:rsid w:val="00723D57"/>
    <w:rsid w:val="0072496A"/>
    <w:rsid w:val="00725939"/>
    <w:rsid w:val="0072744D"/>
    <w:rsid w:val="00735393"/>
    <w:rsid w:val="00735503"/>
    <w:rsid w:val="007363AC"/>
    <w:rsid w:val="007368B9"/>
    <w:rsid w:val="00740960"/>
    <w:rsid w:val="0074253A"/>
    <w:rsid w:val="00744807"/>
    <w:rsid w:val="007462B9"/>
    <w:rsid w:val="00750CE3"/>
    <w:rsid w:val="00751BB2"/>
    <w:rsid w:val="00752808"/>
    <w:rsid w:val="007538D8"/>
    <w:rsid w:val="00757C19"/>
    <w:rsid w:val="00757EFD"/>
    <w:rsid w:val="007605EC"/>
    <w:rsid w:val="00761624"/>
    <w:rsid w:val="00762215"/>
    <w:rsid w:val="00762219"/>
    <w:rsid w:val="00764C26"/>
    <w:rsid w:val="00767B30"/>
    <w:rsid w:val="00773FCE"/>
    <w:rsid w:val="00775B4A"/>
    <w:rsid w:val="00780447"/>
    <w:rsid w:val="0078250B"/>
    <w:rsid w:val="00782ACE"/>
    <w:rsid w:val="0078335D"/>
    <w:rsid w:val="0078385E"/>
    <w:rsid w:val="00784FDF"/>
    <w:rsid w:val="00785428"/>
    <w:rsid w:val="00791E83"/>
    <w:rsid w:val="00793275"/>
    <w:rsid w:val="00793DE4"/>
    <w:rsid w:val="00795412"/>
    <w:rsid w:val="00797F97"/>
    <w:rsid w:val="007A0D4E"/>
    <w:rsid w:val="007A1D15"/>
    <w:rsid w:val="007A482D"/>
    <w:rsid w:val="007A587A"/>
    <w:rsid w:val="007A5DB2"/>
    <w:rsid w:val="007B4BE7"/>
    <w:rsid w:val="007B57E3"/>
    <w:rsid w:val="007B5DD7"/>
    <w:rsid w:val="007C346F"/>
    <w:rsid w:val="007C3CF3"/>
    <w:rsid w:val="007C3EB7"/>
    <w:rsid w:val="007C4CB9"/>
    <w:rsid w:val="007C4DE0"/>
    <w:rsid w:val="007C5D74"/>
    <w:rsid w:val="007C6373"/>
    <w:rsid w:val="007D2C70"/>
    <w:rsid w:val="007D48DA"/>
    <w:rsid w:val="007D4B77"/>
    <w:rsid w:val="007D78D3"/>
    <w:rsid w:val="007E0B05"/>
    <w:rsid w:val="007E0B1F"/>
    <w:rsid w:val="007E16F7"/>
    <w:rsid w:val="007E1823"/>
    <w:rsid w:val="007E2F65"/>
    <w:rsid w:val="007E3105"/>
    <w:rsid w:val="007E3D61"/>
    <w:rsid w:val="007E4718"/>
    <w:rsid w:val="007E4B02"/>
    <w:rsid w:val="007E770D"/>
    <w:rsid w:val="007F154F"/>
    <w:rsid w:val="007F319E"/>
    <w:rsid w:val="007F54B0"/>
    <w:rsid w:val="007F6043"/>
    <w:rsid w:val="007F6F81"/>
    <w:rsid w:val="008017C7"/>
    <w:rsid w:val="0080304D"/>
    <w:rsid w:val="0080603D"/>
    <w:rsid w:val="00807516"/>
    <w:rsid w:val="00810BD6"/>
    <w:rsid w:val="00811097"/>
    <w:rsid w:val="00812960"/>
    <w:rsid w:val="00812D19"/>
    <w:rsid w:val="00813949"/>
    <w:rsid w:val="008157FD"/>
    <w:rsid w:val="008166BF"/>
    <w:rsid w:val="0081696A"/>
    <w:rsid w:val="008175B6"/>
    <w:rsid w:val="00820C8E"/>
    <w:rsid w:val="00820F64"/>
    <w:rsid w:val="008216B4"/>
    <w:rsid w:val="008234BD"/>
    <w:rsid w:val="00823F36"/>
    <w:rsid w:val="0082474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E4C"/>
    <w:rsid w:val="00843A76"/>
    <w:rsid w:val="00846817"/>
    <w:rsid w:val="00850943"/>
    <w:rsid w:val="00850CC2"/>
    <w:rsid w:val="00851D6F"/>
    <w:rsid w:val="0085293B"/>
    <w:rsid w:val="00856D4F"/>
    <w:rsid w:val="00863EE8"/>
    <w:rsid w:val="00864615"/>
    <w:rsid w:val="00864FA8"/>
    <w:rsid w:val="008679C7"/>
    <w:rsid w:val="00867F3C"/>
    <w:rsid w:val="00870477"/>
    <w:rsid w:val="008717E6"/>
    <w:rsid w:val="00871F93"/>
    <w:rsid w:val="00874514"/>
    <w:rsid w:val="00874D10"/>
    <w:rsid w:val="00877E9C"/>
    <w:rsid w:val="00882E54"/>
    <w:rsid w:val="00883DE9"/>
    <w:rsid w:val="00885CD5"/>
    <w:rsid w:val="008863DC"/>
    <w:rsid w:val="0089166B"/>
    <w:rsid w:val="0089658A"/>
    <w:rsid w:val="00896EAA"/>
    <w:rsid w:val="008A1EBB"/>
    <w:rsid w:val="008A2BF1"/>
    <w:rsid w:val="008A48AE"/>
    <w:rsid w:val="008A7591"/>
    <w:rsid w:val="008B01DB"/>
    <w:rsid w:val="008B08B8"/>
    <w:rsid w:val="008C05E1"/>
    <w:rsid w:val="008C08A9"/>
    <w:rsid w:val="008C0FAB"/>
    <w:rsid w:val="008C1D97"/>
    <w:rsid w:val="008C1FAF"/>
    <w:rsid w:val="008C2ED1"/>
    <w:rsid w:val="008C3387"/>
    <w:rsid w:val="008C6927"/>
    <w:rsid w:val="008D0736"/>
    <w:rsid w:val="008D23A6"/>
    <w:rsid w:val="008D252D"/>
    <w:rsid w:val="008D354A"/>
    <w:rsid w:val="008D6859"/>
    <w:rsid w:val="008D7477"/>
    <w:rsid w:val="008D79B8"/>
    <w:rsid w:val="008E1B70"/>
    <w:rsid w:val="008E24B3"/>
    <w:rsid w:val="008E2DC9"/>
    <w:rsid w:val="008E662E"/>
    <w:rsid w:val="008E6844"/>
    <w:rsid w:val="008E69A5"/>
    <w:rsid w:val="008E7D13"/>
    <w:rsid w:val="008F0038"/>
    <w:rsid w:val="008F0CAD"/>
    <w:rsid w:val="008F180B"/>
    <w:rsid w:val="008F2B5B"/>
    <w:rsid w:val="008F2F33"/>
    <w:rsid w:val="008F3535"/>
    <w:rsid w:val="008F36C6"/>
    <w:rsid w:val="008F6727"/>
    <w:rsid w:val="008F67A6"/>
    <w:rsid w:val="008F6931"/>
    <w:rsid w:val="008F6DCE"/>
    <w:rsid w:val="008F7D28"/>
    <w:rsid w:val="009031F5"/>
    <w:rsid w:val="0090731E"/>
    <w:rsid w:val="009112B3"/>
    <w:rsid w:val="00912F96"/>
    <w:rsid w:val="009135EF"/>
    <w:rsid w:val="00917658"/>
    <w:rsid w:val="0091775B"/>
    <w:rsid w:val="00917809"/>
    <w:rsid w:val="00920BFC"/>
    <w:rsid w:val="00922D5B"/>
    <w:rsid w:val="00924A1A"/>
    <w:rsid w:val="00925E93"/>
    <w:rsid w:val="0092609F"/>
    <w:rsid w:val="009315B1"/>
    <w:rsid w:val="00932348"/>
    <w:rsid w:val="00932513"/>
    <w:rsid w:val="00935373"/>
    <w:rsid w:val="00935C75"/>
    <w:rsid w:val="00937477"/>
    <w:rsid w:val="00937888"/>
    <w:rsid w:val="00945232"/>
    <w:rsid w:val="009463F9"/>
    <w:rsid w:val="00947CAD"/>
    <w:rsid w:val="009503F4"/>
    <w:rsid w:val="00950D5D"/>
    <w:rsid w:val="00952C39"/>
    <w:rsid w:val="00954192"/>
    <w:rsid w:val="00955DE0"/>
    <w:rsid w:val="0095678A"/>
    <w:rsid w:val="00956C81"/>
    <w:rsid w:val="00956F5A"/>
    <w:rsid w:val="00961432"/>
    <w:rsid w:val="009618D5"/>
    <w:rsid w:val="009636A4"/>
    <w:rsid w:val="009650D7"/>
    <w:rsid w:val="00965CCE"/>
    <w:rsid w:val="00966CCE"/>
    <w:rsid w:val="00966D40"/>
    <w:rsid w:val="0096746F"/>
    <w:rsid w:val="0096776C"/>
    <w:rsid w:val="00967E2D"/>
    <w:rsid w:val="00970464"/>
    <w:rsid w:val="009704B8"/>
    <w:rsid w:val="0097184F"/>
    <w:rsid w:val="009733B7"/>
    <w:rsid w:val="009744EB"/>
    <w:rsid w:val="00975293"/>
    <w:rsid w:val="009804D4"/>
    <w:rsid w:val="00980D82"/>
    <w:rsid w:val="00981513"/>
    <w:rsid w:val="009819FF"/>
    <w:rsid w:val="00982945"/>
    <w:rsid w:val="0098312C"/>
    <w:rsid w:val="00985828"/>
    <w:rsid w:val="009870A2"/>
    <w:rsid w:val="00987F4A"/>
    <w:rsid w:val="00987FC8"/>
    <w:rsid w:val="00992C6A"/>
    <w:rsid w:val="00993485"/>
    <w:rsid w:val="00994A25"/>
    <w:rsid w:val="00995E5F"/>
    <w:rsid w:val="009964DA"/>
    <w:rsid w:val="0099651D"/>
    <w:rsid w:val="009A2999"/>
    <w:rsid w:val="009A2EEE"/>
    <w:rsid w:val="009A5717"/>
    <w:rsid w:val="009A65FC"/>
    <w:rsid w:val="009B0969"/>
    <w:rsid w:val="009B1E34"/>
    <w:rsid w:val="009B1ED6"/>
    <w:rsid w:val="009B1F67"/>
    <w:rsid w:val="009B6C64"/>
    <w:rsid w:val="009B708F"/>
    <w:rsid w:val="009C096A"/>
    <w:rsid w:val="009C10F0"/>
    <w:rsid w:val="009C493C"/>
    <w:rsid w:val="009C564B"/>
    <w:rsid w:val="009C7BB2"/>
    <w:rsid w:val="009C7D7D"/>
    <w:rsid w:val="009D17FF"/>
    <w:rsid w:val="009D210C"/>
    <w:rsid w:val="009D4245"/>
    <w:rsid w:val="009D52B0"/>
    <w:rsid w:val="009D69D8"/>
    <w:rsid w:val="009D7377"/>
    <w:rsid w:val="009E0716"/>
    <w:rsid w:val="009E08C1"/>
    <w:rsid w:val="009E1A04"/>
    <w:rsid w:val="009E29E8"/>
    <w:rsid w:val="009E351E"/>
    <w:rsid w:val="009F35EE"/>
    <w:rsid w:val="009F410F"/>
    <w:rsid w:val="009F4CCC"/>
    <w:rsid w:val="009F630F"/>
    <w:rsid w:val="009F6BDC"/>
    <w:rsid w:val="009F6E72"/>
    <w:rsid w:val="009F720A"/>
    <w:rsid w:val="009F7969"/>
    <w:rsid w:val="00A00C72"/>
    <w:rsid w:val="00A02237"/>
    <w:rsid w:val="00A02BB1"/>
    <w:rsid w:val="00A06288"/>
    <w:rsid w:val="00A07BDB"/>
    <w:rsid w:val="00A1058E"/>
    <w:rsid w:val="00A105DB"/>
    <w:rsid w:val="00A13E3A"/>
    <w:rsid w:val="00A146AE"/>
    <w:rsid w:val="00A16B3E"/>
    <w:rsid w:val="00A22FC3"/>
    <w:rsid w:val="00A23F1C"/>
    <w:rsid w:val="00A24D32"/>
    <w:rsid w:val="00A24FF7"/>
    <w:rsid w:val="00A25C42"/>
    <w:rsid w:val="00A26334"/>
    <w:rsid w:val="00A2639E"/>
    <w:rsid w:val="00A264F4"/>
    <w:rsid w:val="00A26767"/>
    <w:rsid w:val="00A26E0D"/>
    <w:rsid w:val="00A306F2"/>
    <w:rsid w:val="00A31309"/>
    <w:rsid w:val="00A34414"/>
    <w:rsid w:val="00A354DE"/>
    <w:rsid w:val="00A36E75"/>
    <w:rsid w:val="00A4179D"/>
    <w:rsid w:val="00A42FC4"/>
    <w:rsid w:val="00A432A2"/>
    <w:rsid w:val="00A46EBA"/>
    <w:rsid w:val="00A47039"/>
    <w:rsid w:val="00A47082"/>
    <w:rsid w:val="00A473A7"/>
    <w:rsid w:val="00A473E0"/>
    <w:rsid w:val="00A474CB"/>
    <w:rsid w:val="00A51A09"/>
    <w:rsid w:val="00A5323A"/>
    <w:rsid w:val="00A53372"/>
    <w:rsid w:val="00A56924"/>
    <w:rsid w:val="00A60898"/>
    <w:rsid w:val="00A60E76"/>
    <w:rsid w:val="00A64DED"/>
    <w:rsid w:val="00A65955"/>
    <w:rsid w:val="00A6643A"/>
    <w:rsid w:val="00A664E9"/>
    <w:rsid w:val="00A66AEC"/>
    <w:rsid w:val="00A67376"/>
    <w:rsid w:val="00A70660"/>
    <w:rsid w:val="00A70B21"/>
    <w:rsid w:val="00A72956"/>
    <w:rsid w:val="00A76DB1"/>
    <w:rsid w:val="00A77152"/>
    <w:rsid w:val="00A812C8"/>
    <w:rsid w:val="00A81908"/>
    <w:rsid w:val="00A841C8"/>
    <w:rsid w:val="00A85DA9"/>
    <w:rsid w:val="00A86AC9"/>
    <w:rsid w:val="00A910C9"/>
    <w:rsid w:val="00A94C0C"/>
    <w:rsid w:val="00A9750A"/>
    <w:rsid w:val="00A97FCD"/>
    <w:rsid w:val="00AA0B4E"/>
    <w:rsid w:val="00AA25F5"/>
    <w:rsid w:val="00AA3170"/>
    <w:rsid w:val="00AA347A"/>
    <w:rsid w:val="00AA429A"/>
    <w:rsid w:val="00AA495C"/>
    <w:rsid w:val="00AA7449"/>
    <w:rsid w:val="00AA7F2A"/>
    <w:rsid w:val="00AB0806"/>
    <w:rsid w:val="00AB1C11"/>
    <w:rsid w:val="00AB2986"/>
    <w:rsid w:val="00AB5701"/>
    <w:rsid w:val="00AC0EAB"/>
    <w:rsid w:val="00AC222B"/>
    <w:rsid w:val="00AC3821"/>
    <w:rsid w:val="00AC5DCD"/>
    <w:rsid w:val="00AC7F88"/>
    <w:rsid w:val="00AD0ACF"/>
    <w:rsid w:val="00AD0D30"/>
    <w:rsid w:val="00AD241B"/>
    <w:rsid w:val="00AD2B7C"/>
    <w:rsid w:val="00AD2D98"/>
    <w:rsid w:val="00AD30FF"/>
    <w:rsid w:val="00AD31FC"/>
    <w:rsid w:val="00AD3FF5"/>
    <w:rsid w:val="00AD4AF4"/>
    <w:rsid w:val="00AD6589"/>
    <w:rsid w:val="00AD6829"/>
    <w:rsid w:val="00AD7056"/>
    <w:rsid w:val="00AE6EF6"/>
    <w:rsid w:val="00AE7D4C"/>
    <w:rsid w:val="00AF01D2"/>
    <w:rsid w:val="00AF0551"/>
    <w:rsid w:val="00AF13FC"/>
    <w:rsid w:val="00AF361A"/>
    <w:rsid w:val="00AF3742"/>
    <w:rsid w:val="00AF3E4B"/>
    <w:rsid w:val="00AF5ED4"/>
    <w:rsid w:val="00AF5FD5"/>
    <w:rsid w:val="00AF71D7"/>
    <w:rsid w:val="00B007F6"/>
    <w:rsid w:val="00B01E63"/>
    <w:rsid w:val="00B04F47"/>
    <w:rsid w:val="00B126D5"/>
    <w:rsid w:val="00B12E8F"/>
    <w:rsid w:val="00B14910"/>
    <w:rsid w:val="00B160C4"/>
    <w:rsid w:val="00B16A35"/>
    <w:rsid w:val="00B178C8"/>
    <w:rsid w:val="00B2392A"/>
    <w:rsid w:val="00B24347"/>
    <w:rsid w:val="00B259B6"/>
    <w:rsid w:val="00B2762A"/>
    <w:rsid w:val="00B279E8"/>
    <w:rsid w:val="00B27ACD"/>
    <w:rsid w:val="00B27D06"/>
    <w:rsid w:val="00B33088"/>
    <w:rsid w:val="00B35C0D"/>
    <w:rsid w:val="00B35D7C"/>
    <w:rsid w:val="00B36A80"/>
    <w:rsid w:val="00B40EBC"/>
    <w:rsid w:val="00B42AFC"/>
    <w:rsid w:val="00B43482"/>
    <w:rsid w:val="00B46E82"/>
    <w:rsid w:val="00B50175"/>
    <w:rsid w:val="00B51975"/>
    <w:rsid w:val="00B53FA2"/>
    <w:rsid w:val="00B56D7B"/>
    <w:rsid w:val="00B57019"/>
    <w:rsid w:val="00B570AD"/>
    <w:rsid w:val="00B570C5"/>
    <w:rsid w:val="00B6204B"/>
    <w:rsid w:val="00B62081"/>
    <w:rsid w:val="00B62A69"/>
    <w:rsid w:val="00B6548E"/>
    <w:rsid w:val="00B65F10"/>
    <w:rsid w:val="00B66BB6"/>
    <w:rsid w:val="00B67588"/>
    <w:rsid w:val="00B67DEE"/>
    <w:rsid w:val="00B70D8C"/>
    <w:rsid w:val="00B716B2"/>
    <w:rsid w:val="00B71AF4"/>
    <w:rsid w:val="00B73F84"/>
    <w:rsid w:val="00B8102B"/>
    <w:rsid w:val="00B8406B"/>
    <w:rsid w:val="00B8614D"/>
    <w:rsid w:val="00B9020C"/>
    <w:rsid w:val="00B96D36"/>
    <w:rsid w:val="00BA5192"/>
    <w:rsid w:val="00BA5519"/>
    <w:rsid w:val="00BA5E52"/>
    <w:rsid w:val="00BA782E"/>
    <w:rsid w:val="00BA7AB2"/>
    <w:rsid w:val="00BB4173"/>
    <w:rsid w:val="00BB7F94"/>
    <w:rsid w:val="00BC0178"/>
    <w:rsid w:val="00BC3F71"/>
    <w:rsid w:val="00BC4BEE"/>
    <w:rsid w:val="00BC527B"/>
    <w:rsid w:val="00BC6522"/>
    <w:rsid w:val="00BC6698"/>
    <w:rsid w:val="00BD0324"/>
    <w:rsid w:val="00BD0F66"/>
    <w:rsid w:val="00BD1690"/>
    <w:rsid w:val="00BD1A4F"/>
    <w:rsid w:val="00BD5E3B"/>
    <w:rsid w:val="00BD6712"/>
    <w:rsid w:val="00BE2C33"/>
    <w:rsid w:val="00BE38E9"/>
    <w:rsid w:val="00BE5701"/>
    <w:rsid w:val="00BF0100"/>
    <w:rsid w:val="00BF1CAA"/>
    <w:rsid w:val="00BF2E45"/>
    <w:rsid w:val="00BF774A"/>
    <w:rsid w:val="00C003D2"/>
    <w:rsid w:val="00C02075"/>
    <w:rsid w:val="00C03EFD"/>
    <w:rsid w:val="00C066E4"/>
    <w:rsid w:val="00C119E3"/>
    <w:rsid w:val="00C15612"/>
    <w:rsid w:val="00C1628A"/>
    <w:rsid w:val="00C16FEF"/>
    <w:rsid w:val="00C205B3"/>
    <w:rsid w:val="00C236D1"/>
    <w:rsid w:val="00C23C5D"/>
    <w:rsid w:val="00C26259"/>
    <w:rsid w:val="00C3107E"/>
    <w:rsid w:val="00C3229D"/>
    <w:rsid w:val="00C3299A"/>
    <w:rsid w:val="00C329A8"/>
    <w:rsid w:val="00C33ED2"/>
    <w:rsid w:val="00C354AD"/>
    <w:rsid w:val="00C358B4"/>
    <w:rsid w:val="00C35B3B"/>
    <w:rsid w:val="00C3681B"/>
    <w:rsid w:val="00C375C5"/>
    <w:rsid w:val="00C40F5E"/>
    <w:rsid w:val="00C4222A"/>
    <w:rsid w:val="00C427C5"/>
    <w:rsid w:val="00C43900"/>
    <w:rsid w:val="00C4633D"/>
    <w:rsid w:val="00C4731E"/>
    <w:rsid w:val="00C50693"/>
    <w:rsid w:val="00C513A3"/>
    <w:rsid w:val="00C5173F"/>
    <w:rsid w:val="00C51A4B"/>
    <w:rsid w:val="00C523E3"/>
    <w:rsid w:val="00C52682"/>
    <w:rsid w:val="00C53F67"/>
    <w:rsid w:val="00C55A2E"/>
    <w:rsid w:val="00C61D2B"/>
    <w:rsid w:val="00C62EC7"/>
    <w:rsid w:val="00C649A7"/>
    <w:rsid w:val="00C65F1A"/>
    <w:rsid w:val="00C66899"/>
    <w:rsid w:val="00C676FC"/>
    <w:rsid w:val="00C678F3"/>
    <w:rsid w:val="00C67A12"/>
    <w:rsid w:val="00C72CE8"/>
    <w:rsid w:val="00C746C3"/>
    <w:rsid w:val="00C76199"/>
    <w:rsid w:val="00C76CBE"/>
    <w:rsid w:val="00C86987"/>
    <w:rsid w:val="00C87C37"/>
    <w:rsid w:val="00C908DF"/>
    <w:rsid w:val="00C90E11"/>
    <w:rsid w:val="00C93FE3"/>
    <w:rsid w:val="00C9575E"/>
    <w:rsid w:val="00C95DB2"/>
    <w:rsid w:val="00CA3309"/>
    <w:rsid w:val="00CA4056"/>
    <w:rsid w:val="00CA50A6"/>
    <w:rsid w:val="00CA5FB8"/>
    <w:rsid w:val="00CB06D2"/>
    <w:rsid w:val="00CB20DB"/>
    <w:rsid w:val="00CB36C9"/>
    <w:rsid w:val="00CB374D"/>
    <w:rsid w:val="00CB6E64"/>
    <w:rsid w:val="00CB7E04"/>
    <w:rsid w:val="00CC014C"/>
    <w:rsid w:val="00CC078B"/>
    <w:rsid w:val="00CC0C3C"/>
    <w:rsid w:val="00CC1FCD"/>
    <w:rsid w:val="00CC367D"/>
    <w:rsid w:val="00CC4939"/>
    <w:rsid w:val="00CC5966"/>
    <w:rsid w:val="00CC72ED"/>
    <w:rsid w:val="00CC7EFD"/>
    <w:rsid w:val="00CD37A6"/>
    <w:rsid w:val="00CD3C1C"/>
    <w:rsid w:val="00CD4E42"/>
    <w:rsid w:val="00CD5FE4"/>
    <w:rsid w:val="00CE18AF"/>
    <w:rsid w:val="00CE1E30"/>
    <w:rsid w:val="00CE3313"/>
    <w:rsid w:val="00CE4A47"/>
    <w:rsid w:val="00CE4E59"/>
    <w:rsid w:val="00CE6877"/>
    <w:rsid w:val="00CE7C90"/>
    <w:rsid w:val="00CF0342"/>
    <w:rsid w:val="00CF601D"/>
    <w:rsid w:val="00CF7110"/>
    <w:rsid w:val="00D02731"/>
    <w:rsid w:val="00D03605"/>
    <w:rsid w:val="00D066A9"/>
    <w:rsid w:val="00D077E7"/>
    <w:rsid w:val="00D1450F"/>
    <w:rsid w:val="00D15D17"/>
    <w:rsid w:val="00D16163"/>
    <w:rsid w:val="00D17F4F"/>
    <w:rsid w:val="00D24A6C"/>
    <w:rsid w:val="00D271C3"/>
    <w:rsid w:val="00D300AC"/>
    <w:rsid w:val="00D33CE1"/>
    <w:rsid w:val="00D34129"/>
    <w:rsid w:val="00D3427D"/>
    <w:rsid w:val="00D351EA"/>
    <w:rsid w:val="00D36B6E"/>
    <w:rsid w:val="00D371DD"/>
    <w:rsid w:val="00D4316A"/>
    <w:rsid w:val="00D44DF9"/>
    <w:rsid w:val="00D45EE2"/>
    <w:rsid w:val="00D46D19"/>
    <w:rsid w:val="00D470FE"/>
    <w:rsid w:val="00D525A8"/>
    <w:rsid w:val="00D52901"/>
    <w:rsid w:val="00D52998"/>
    <w:rsid w:val="00D53DD0"/>
    <w:rsid w:val="00D54DCF"/>
    <w:rsid w:val="00D57234"/>
    <w:rsid w:val="00D60C2C"/>
    <w:rsid w:val="00D6369A"/>
    <w:rsid w:val="00D63BA7"/>
    <w:rsid w:val="00D66971"/>
    <w:rsid w:val="00D67041"/>
    <w:rsid w:val="00D719BD"/>
    <w:rsid w:val="00D7345C"/>
    <w:rsid w:val="00D74B61"/>
    <w:rsid w:val="00D75FEC"/>
    <w:rsid w:val="00D7714F"/>
    <w:rsid w:val="00D77DB1"/>
    <w:rsid w:val="00D81E7B"/>
    <w:rsid w:val="00D86138"/>
    <w:rsid w:val="00D86359"/>
    <w:rsid w:val="00D87CB5"/>
    <w:rsid w:val="00D90ED0"/>
    <w:rsid w:val="00D90F4D"/>
    <w:rsid w:val="00D917FC"/>
    <w:rsid w:val="00D97B38"/>
    <w:rsid w:val="00D97CC4"/>
    <w:rsid w:val="00DA482A"/>
    <w:rsid w:val="00DA4E7A"/>
    <w:rsid w:val="00DA6BA2"/>
    <w:rsid w:val="00DB179D"/>
    <w:rsid w:val="00DB1F1C"/>
    <w:rsid w:val="00DB2A17"/>
    <w:rsid w:val="00DB379F"/>
    <w:rsid w:val="00DB467E"/>
    <w:rsid w:val="00DB4CCD"/>
    <w:rsid w:val="00DB59AF"/>
    <w:rsid w:val="00DB7523"/>
    <w:rsid w:val="00DB7FC0"/>
    <w:rsid w:val="00DC0D10"/>
    <w:rsid w:val="00DC2807"/>
    <w:rsid w:val="00DC2ED7"/>
    <w:rsid w:val="00DC2F68"/>
    <w:rsid w:val="00DC3620"/>
    <w:rsid w:val="00DC7F54"/>
    <w:rsid w:val="00DD1370"/>
    <w:rsid w:val="00DD2406"/>
    <w:rsid w:val="00DD37F4"/>
    <w:rsid w:val="00DD3CD8"/>
    <w:rsid w:val="00DD55B8"/>
    <w:rsid w:val="00DD7F4F"/>
    <w:rsid w:val="00DE4785"/>
    <w:rsid w:val="00DE6A53"/>
    <w:rsid w:val="00DF178E"/>
    <w:rsid w:val="00DF52C1"/>
    <w:rsid w:val="00DF62D0"/>
    <w:rsid w:val="00DF6701"/>
    <w:rsid w:val="00E03C67"/>
    <w:rsid w:val="00E067A4"/>
    <w:rsid w:val="00E07780"/>
    <w:rsid w:val="00E113D2"/>
    <w:rsid w:val="00E11400"/>
    <w:rsid w:val="00E1195B"/>
    <w:rsid w:val="00E11987"/>
    <w:rsid w:val="00E145DE"/>
    <w:rsid w:val="00E145FA"/>
    <w:rsid w:val="00E14AF7"/>
    <w:rsid w:val="00E202FA"/>
    <w:rsid w:val="00E20DF1"/>
    <w:rsid w:val="00E21EC6"/>
    <w:rsid w:val="00E225CE"/>
    <w:rsid w:val="00E23AD2"/>
    <w:rsid w:val="00E24A8F"/>
    <w:rsid w:val="00E27B45"/>
    <w:rsid w:val="00E27C7B"/>
    <w:rsid w:val="00E31B05"/>
    <w:rsid w:val="00E31CF4"/>
    <w:rsid w:val="00E31FC1"/>
    <w:rsid w:val="00E346C2"/>
    <w:rsid w:val="00E35EF8"/>
    <w:rsid w:val="00E4229E"/>
    <w:rsid w:val="00E43449"/>
    <w:rsid w:val="00E44394"/>
    <w:rsid w:val="00E446B2"/>
    <w:rsid w:val="00E446C8"/>
    <w:rsid w:val="00E45995"/>
    <w:rsid w:val="00E45A7D"/>
    <w:rsid w:val="00E4656D"/>
    <w:rsid w:val="00E4680A"/>
    <w:rsid w:val="00E46936"/>
    <w:rsid w:val="00E50BA6"/>
    <w:rsid w:val="00E50FFD"/>
    <w:rsid w:val="00E519C6"/>
    <w:rsid w:val="00E52199"/>
    <w:rsid w:val="00E5448C"/>
    <w:rsid w:val="00E55ADC"/>
    <w:rsid w:val="00E62740"/>
    <w:rsid w:val="00E653E7"/>
    <w:rsid w:val="00E66186"/>
    <w:rsid w:val="00E70C2E"/>
    <w:rsid w:val="00E71BA8"/>
    <w:rsid w:val="00E7787A"/>
    <w:rsid w:val="00E82D3B"/>
    <w:rsid w:val="00E83FFE"/>
    <w:rsid w:val="00E8689C"/>
    <w:rsid w:val="00E86A8B"/>
    <w:rsid w:val="00E86E0A"/>
    <w:rsid w:val="00E9098A"/>
    <w:rsid w:val="00E919C5"/>
    <w:rsid w:val="00E93045"/>
    <w:rsid w:val="00E93DB5"/>
    <w:rsid w:val="00E95CCE"/>
    <w:rsid w:val="00E96795"/>
    <w:rsid w:val="00E96F79"/>
    <w:rsid w:val="00EA0196"/>
    <w:rsid w:val="00EA3549"/>
    <w:rsid w:val="00EA3E01"/>
    <w:rsid w:val="00EB004D"/>
    <w:rsid w:val="00EB2FD4"/>
    <w:rsid w:val="00EB587A"/>
    <w:rsid w:val="00EB5ABC"/>
    <w:rsid w:val="00EC3635"/>
    <w:rsid w:val="00EC37FB"/>
    <w:rsid w:val="00EC3A9E"/>
    <w:rsid w:val="00EC50B3"/>
    <w:rsid w:val="00EC5F31"/>
    <w:rsid w:val="00ED00D8"/>
    <w:rsid w:val="00ED0E7F"/>
    <w:rsid w:val="00ED1994"/>
    <w:rsid w:val="00ED53BB"/>
    <w:rsid w:val="00ED5F79"/>
    <w:rsid w:val="00EE0C34"/>
    <w:rsid w:val="00EE439B"/>
    <w:rsid w:val="00EE44F2"/>
    <w:rsid w:val="00EF00B6"/>
    <w:rsid w:val="00EF2003"/>
    <w:rsid w:val="00EF3CA3"/>
    <w:rsid w:val="00EF3FD8"/>
    <w:rsid w:val="00EF64E7"/>
    <w:rsid w:val="00EF6801"/>
    <w:rsid w:val="00F009FD"/>
    <w:rsid w:val="00F00CBD"/>
    <w:rsid w:val="00F0156D"/>
    <w:rsid w:val="00F054E6"/>
    <w:rsid w:val="00F05826"/>
    <w:rsid w:val="00F07C82"/>
    <w:rsid w:val="00F10090"/>
    <w:rsid w:val="00F103E6"/>
    <w:rsid w:val="00F13BF9"/>
    <w:rsid w:val="00F20775"/>
    <w:rsid w:val="00F21A3A"/>
    <w:rsid w:val="00F22865"/>
    <w:rsid w:val="00F27CC6"/>
    <w:rsid w:val="00F30D30"/>
    <w:rsid w:val="00F32942"/>
    <w:rsid w:val="00F335D5"/>
    <w:rsid w:val="00F36B47"/>
    <w:rsid w:val="00F37513"/>
    <w:rsid w:val="00F37A03"/>
    <w:rsid w:val="00F41BD6"/>
    <w:rsid w:val="00F4237D"/>
    <w:rsid w:val="00F42D86"/>
    <w:rsid w:val="00F4328B"/>
    <w:rsid w:val="00F47078"/>
    <w:rsid w:val="00F471CB"/>
    <w:rsid w:val="00F47DB2"/>
    <w:rsid w:val="00F50211"/>
    <w:rsid w:val="00F5335D"/>
    <w:rsid w:val="00F540BA"/>
    <w:rsid w:val="00F5457F"/>
    <w:rsid w:val="00F54DD9"/>
    <w:rsid w:val="00F566C5"/>
    <w:rsid w:val="00F570B3"/>
    <w:rsid w:val="00F628C7"/>
    <w:rsid w:val="00F64001"/>
    <w:rsid w:val="00F64077"/>
    <w:rsid w:val="00F643CE"/>
    <w:rsid w:val="00F64632"/>
    <w:rsid w:val="00F74773"/>
    <w:rsid w:val="00F748E8"/>
    <w:rsid w:val="00F774C3"/>
    <w:rsid w:val="00F77DA0"/>
    <w:rsid w:val="00F80821"/>
    <w:rsid w:val="00F84986"/>
    <w:rsid w:val="00F854B8"/>
    <w:rsid w:val="00F85774"/>
    <w:rsid w:val="00F85E42"/>
    <w:rsid w:val="00F86AF0"/>
    <w:rsid w:val="00F87BDD"/>
    <w:rsid w:val="00F901C4"/>
    <w:rsid w:val="00F910E6"/>
    <w:rsid w:val="00F91B45"/>
    <w:rsid w:val="00F9304C"/>
    <w:rsid w:val="00F9310E"/>
    <w:rsid w:val="00F93ED9"/>
    <w:rsid w:val="00F944B6"/>
    <w:rsid w:val="00FA12AA"/>
    <w:rsid w:val="00FA347F"/>
    <w:rsid w:val="00FA3E04"/>
    <w:rsid w:val="00FA4DC8"/>
    <w:rsid w:val="00FA7B51"/>
    <w:rsid w:val="00FB0909"/>
    <w:rsid w:val="00FB0D62"/>
    <w:rsid w:val="00FB130B"/>
    <w:rsid w:val="00FB2622"/>
    <w:rsid w:val="00FB2BC0"/>
    <w:rsid w:val="00FB3773"/>
    <w:rsid w:val="00FB6BBD"/>
    <w:rsid w:val="00FC004E"/>
    <w:rsid w:val="00FC0514"/>
    <w:rsid w:val="00FC21CF"/>
    <w:rsid w:val="00FC294B"/>
    <w:rsid w:val="00FC4353"/>
    <w:rsid w:val="00FC43F0"/>
    <w:rsid w:val="00FC4834"/>
    <w:rsid w:val="00FC4854"/>
    <w:rsid w:val="00FC56B8"/>
    <w:rsid w:val="00FC6FF6"/>
    <w:rsid w:val="00FD0B3E"/>
    <w:rsid w:val="00FD1045"/>
    <w:rsid w:val="00FD13F7"/>
    <w:rsid w:val="00FD20B8"/>
    <w:rsid w:val="00FD3F63"/>
    <w:rsid w:val="00FD4B72"/>
    <w:rsid w:val="00FD75B4"/>
    <w:rsid w:val="00FE3089"/>
    <w:rsid w:val="00FE66B1"/>
    <w:rsid w:val="00FF0E42"/>
    <w:rsid w:val="00FF33CC"/>
    <w:rsid w:val="00FF3563"/>
    <w:rsid w:val="00FF3988"/>
    <w:rsid w:val="00FF3A3A"/>
    <w:rsid w:val="00FF4292"/>
    <w:rsid w:val="170518D0"/>
    <w:rsid w:val="587B43F4"/>
    <w:rsid w:val="622A3D06"/>
    <w:rsid w:val="729F5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5"/>
    <w:qFormat/>
    <w:uiPriority w:val="0"/>
    <w:pPr>
      <w:jc w:val="left"/>
    </w:pPr>
  </w:style>
  <w:style w:type="paragraph" w:styleId="8">
    <w:name w:val="Body Text"/>
    <w:basedOn w:val="1"/>
    <w:link w:val="26"/>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53"/>
    <w:qFormat/>
    <w:uiPriority w:val="99"/>
    <w:pPr>
      <w:tabs>
        <w:tab w:val="center" w:pos="4153"/>
        <w:tab w:val="right" w:pos="8306"/>
      </w:tabs>
      <w:snapToGrid w:val="0"/>
      <w:jc w:val="left"/>
    </w:pPr>
    <w:rPr>
      <w:sz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28"/>
    <w:qFormat/>
    <w:uiPriority w:val="0"/>
    <w:pPr>
      <w:spacing w:before="240" w:after="60"/>
      <w:jc w:val="center"/>
      <w:outlineLvl w:val="0"/>
    </w:pPr>
    <w:rPr>
      <w:rFonts w:ascii="Cambria" w:hAnsi="Cambria"/>
      <w:b/>
      <w:sz w:val="32"/>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6">
    <w:name w:val="正文文本 字符"/>
    <w:link w:val="8"/>
    <w:qFormat/>
    <w:uiPriority w:val="0"/>
    <w:rPr>
      <w:rFonts w:ascii="宋体"/>
    </w:rPr>
  </w:style>
  <w:style w:type="character" w:customStyle="1" w:styleId="27">
    <w:name w:val="unnamed11"/>
    <w:qFormat/>
    <w:uiPriority w:val="0"/>
    <w:rPr>
      <w:rFonts w:hint="eastAsia" w:ascii="宋体" w:hAnsi="宋体" w:eastAsia="宋体"/>
      <w:sz w:val="18"/>
    </w:rPr>
  </w:style>
  <w:style w:type="character" w:customStyle="1" w:styleId="28">
    <w:name w:val="标题 字符"/>
    <w:link w:val="18"/>
    <w:qFormat/>
    <w:uiPriority w:val="0"/>
    <w:rPr>
      <w:rFonts w:ascii="Cambria" w:hAnsi="Cambria"/>
      <w:b/>
      <w:kern w:val="2"/>
      <w:sz w:val="32"/>
    </w:rPr>
  </w:style>
  <w:style w:type="character" w:customStyle="1" w:styleId="29">
    <w:name w:val="页眉 字符"/>
    <w:link w:val="14"/>
    <w:qFormat/>
    <w:uiPriority w:val="0"/>
    <w:rPr>
      <w:kern w:val="2"/>
      <w:sz w:val="18"/>
    </w:rPr>
  </w:style>
  <w:style w:type="character" w:customStyle="1" w:styleId="30">
    <w:name w:val="read"/>
    <w:basedOn w:val="21"/>
    <w:qFormat/>
    <w:uiPriority w:val="0"/>
  </w:style>
  <w:style w:type="paragraph" w:customStyle="1" w:styleId="31">
    <w:name w:val="Char Char"/>
    <w:basedOn w:val="1"/>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unnamed1"/>
    <w:basedOn w:val="1"/>
    <w:qFormat/>
    <w:uiPriority w:val="0"/>
    <w:pPr>
      <w:spacing w:before="60" w:after="60"/>
      <w:ind w:left="15" w:right="15"/>
    </w:pPr>
    <w:rPr>
      <w:rFonts w:hint="eastAsia" w:ascii="宋体" w:hAnsi="宋体"/>
      <w:color w:val="000000"/>
      <w:sz w:val="18"/>
      <w:szCs w:val="18"/>
    </w:rPr>
  </w:style>
  <w:style w:type="paragraph" w:customStyle="1" w:styleId="34">
    <w:name w:val="List_bullet"/>
    <w:basedOn w:val="1"/>
    <w:qFormat/>
    <w:uiPriority w:val="0"/>
    <w:pPr>
      <w:widowControl/>
      <w:tabs>
        <w:tab w:val="left" w:pos="360"/>
      </w:tabs>
      <w:ind w:left="360" w:hanging="360"/>
      <w:jc w:val="left"/>
    </w:pPr>
    <w:rPr>
      <w:kern w:val="0"/>
      <w:sz w:val="24"/>
    </w:rPr>
  </w:style>
  <w:style w:type="paragraph" w:customStyle="1" w:styleId="35">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正文"/>
    <w:basedOn w:val="1"/>
    <w:qFormat/>
    <w:uiPriority w:val="0"/>
    <w:pPr>
      <w:spacing w:afterLines="25" w:line="360" w:lineRule="auto"/>
      <w:ind w:firstLine="200" w:firstLineChars="200"/>
    </w:pPr>
    <w:rPr>
      <w:sz w:val="24"/>
    </w:rPr>
  </w:style>
  <w:style w:type="paragraph" w:customStyle="1" w:styleId="37">
    <w:name w:val="Char"/>
    <w:basedOn w:val="1"/>
    <w:qFormat/>
    <w:uiPriority w:val="0"/>
  </w:style>
  <w:style w:type="paragraph" w:customStyle="1" w:styleId="38">
    <w:name w:val="Char1"/>
    <w:basedOn w:val="1"/>
    <w:qFormat/>
    <w:uiPriority w:val="0"/>
  </w:style>
  <w:style w:type="paragraph" w:customStyle="1" w:styleId="39">
    <w:name w:val="Char Char Char"/>
    <w:basedOn w:val="1"/>
    <w:qFormat/>
    <w:uiPriority w:val="0"/>
  </w:style>
  <w:style w:type="paragraph" w:customStyle="1" w:styleId="40">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1">
    <w:name w:val="Char Char Char Char"/>
    <w:basedOn w:val="1"/>
    <w:qFormat/>
    <w:uiPriority w:val="0"/>
    <w:pPr>
      <w:tabs>
        <w:tab w:val="left" w:pos="360"/>
      </w:tabs>
    </w:pPr>
  </w:style>
  <w:style w:type="paragraph" w:customStyle="1" w:styleId="42">
    <w:name w:val="Char Char1"/>
    <w:basedOn w:val="1"/>
    <w:qFormat/>
    <w:uiPriority w:val="0"/>
  </w:style>
  <w:style w:type="paragraph" w:customStyle="1" w:styleId="43">
    <w:name w:val="正文所"/>
    <w:basedOn w:val="1"/>
    <w:qFormat/>
    <w:uiPriority w:val="0"/>
    <w:pPr>
      <w:spacing w:line="360" w:lineRule="auto"/>
      <w:ind w:firstLine="420" w:firstLineChars="200"/>
    </w:pPr>
    <w:rPr>
      <w:rFonts w:ascii="宋体"/>
    </w:rPr>
  </w:style>
  <w:style w:type="paragraph" w:customStyle="1" w:styleId="44">
    <w:name w:val="修订1"/>
    <w:hidden/>
    <w:semiHidden/>
    <w:qFormat/>
    <w:uiPriority w:val="99"/>
    <w:rPr>
      <w:rFonts w:ascii="Times New Roman" w:hAnsi="Times New Roman" w:eastAsia="宋体" w:cs="Times New Roman"/>
      <w:kern w:val="2"/>
      <w:sz w:val="21"/>
      <w:lang w:val="en-US" w:eastAsia="zh-CN" w:bidi="ar-SA"/>
    </w:rPr>
  </w:style>
  <w:style w:type="character" w:customStyle="1" w:styleId="45">
    <w:name w:val="批注文字 字符1"/>
    <w:basedOn w:val="21"/>
    <w:link w:val="7"/>
    <w:qFormat/>
    <w:uiPriority w:val="0"/>
    <w:rPr>
      <w:kern w:val="2"/>
      <w:sz w:val="21"/>
    </w:rPr>
  </w:style>
  <w:style w:type="paragraph" w:customStyle="1" w:styleId="46">
    <w:name w:val="Char Char2"/>
    <w:basedOn w:val="1"/>
    <w:qFormat/>
    <w:uiPriority w:val="0"/>
  </w:style>
  <w:style w:type="character" w:customStyle="1" w:styleId="47">
    <w:name w:val="批注文字 字符"/>
    <w:qFormat/>
    <w:uiPriority w:val="0"/>
    <w:rPr>
      <w:kern w:val="2"/>
      <w:sz w:val="21"/>
    </w:rPr>
  </w:style>
  <w:style w:type="paragraph" w:customStyle="1" w:styleId="48">
    <w:name w:val="修订2"/>
    <w:hidden/>
    <w:semiHidden/>
    <w:qFormat/>
    <w:uiPriority w:val="99"/>
    <w:rPr>
      <w:rFonts w:ascii="Times New Roman" w:hAnsi="Times New Roman" w:eastAsia="宋体" w:cs="Times New Roman"/>
      <w:kern w:val="2"/>
      <w:sz w:val="21"/>
      <w:lang w:val="en-US" w:eastAsia="zh-CN" w:bidi="ar-SA"/>
    </w:rPr>
  </w:style>
  <w:style w:type="paragraph" w:customStyle="1" w:styleId="49">
    <w:name w:val="Char Char3"/>
    <w:basedOn w:val="1"/>
    <w:qFormat/>
    <w:uiPriority w:val="0"/>
  </w:style>
  <w:style w:type="paragraph" w:customStyle="1" w:styleId="50">
    <w:name w:val="Char Char11"/>
    <w:basedOn w:val="1"/>
    <w:qFormat/>
    <w:uiPriority w:val="0"/>
  </w:style>
  <w:style w:type="paragraph" w:customStyle="1" w:styleId="51">
    <w:name w:val="Char2"/>
    <w:basedOn w:val="1"/>
    <w:uiPriority w:val="0"/>
  </w:style>
  <w:style w:type="paragraph" w:customStyle="1" w:styleId="52">
    <w:name w:val="Revision"/>
    <w:hidden/>
    <w:semiHidden/>
    <w:uiPriority w:val="99"/>
    <w:rPr>
      <w:rFonts w:ascii="Times New Roman" w:hAnsi="Times New Roman" w:eastAsia="宋体" w:cs="Times New Roman"/>
      <w:kern w:val="2"/>
      <w:sz w:val="21"/>
      <w:lang w:val="en-US" w:eastAsia="zh-CN" w:bidi="ar-SA"/>
    </w:rPr>
  </w:style>
  <w:style w:type="character" w:customStyle="1" w:styleId="53">
    <w:name w:val="页脚 字符"/>
    <w:basedOn w:val="21"/>
    <w:link w:val="13"/>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03CBD-A9FB-4B70-8246-606DE5DAF0F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104</Pages>
  <Words>10230</Words>
  <Characters>58312</Characters>
  <Lines>485</Lines>
  <Paragraphs>136</Paragraphs>
  <TotalTime>126</TotalTime>
  <ScaleCrop>false</ScaleCrop>
  <LinksUpToDate>false</LinksUpToDate>
  <CharactersWithSpaces>68406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2020-02-21T09:14:00Z</dcterms:created>
  <dc:creator>H00824</dc:creator>
  <cp:lastModifiedBy>张干</cp:lastModifiedBy>
  <cp:lastPrinted>2020-09-28T09:21:00Z</cp:lastPrinted>
  <dcterms:modified xsi:type="dcterms:W3CDTF">2021-02-09T01:44:10Z</dcterms:modified>
  <dc:title>___证券投资基金招募说明书1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