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lang w:eastAsia="zh-CN"/>
        </w:rPr>
      </w:pPr>
    </w:p>
    <w:p>
      <w:pPr>
        <w:ind w:firstLine="480"/>
        <w:rPr>
          <w:lang w:eastAsia="zh-CN"/>
        </w:rPr>
      </w:pPr>
    </w:p>
    <w:p>
      <w:pPr>
        <w:ind w:firstLine="480"/>
        <w:rPr>
          <w:lang w:eastAsia="zh-CN"/>
        </w:rPr>
      </w:pPr>
    </w:p>
    <w:p>
      <w:pPr>
        <w:ind w:firstLine="480"/>
        <w:rPr>
          <w:lang w:eastAsia="zh-CN"/>
        </w:rPr>
      </w:pPr>
    </w:p>
    <w:p>
      <w:pPr>
        <w:rPr>
          <w:lang w:eastAsia="zh-CN"/>
        </w:rPr>
      </w:pPr>
    </w:p>
    <w:p>
      <w:pPr>
        <w:jc w:val="center"/>
        <w:rPr>
          <w:sz w:val="44"/>
          <w:szCs w:val="44"/>
          <w:lang w:eastAsia="zh-CN"/>
        </w:rPr>
      </w:pPr>
      <w:r>
        <w:rPr>
          <w:rFonts w:hint="eastAsia"/>
          <w:sz w:val="44"/>
          <w:szCs w:val="44"/>
          <w:lang w:eastAsia="zh-CN"/>
        </w:rPr>
        <w:t>浦银安盛养老目标日期</w:t>
      </w:r>
      <w:r>
        <w:rPr>
          <w:sz w:val="44"/>
          <w:szCs w:val="44"/>
          <w:lang w:eastAsia="zh-CN"/>
        </w:rPr>
        <w:t>2040三年持有期混合型发起式基金中基金（FOF）</w:t>
      </w:r>
    </w:p>
    <w:p>
      <w:pPr>
        <w:jc w:val="center"/>
        <w:rPr>
          <w:sz w:val="44"/>
          <w:szCs w:val="44"/>
          <w:lang w:eastAsia="zh-CN"/>
        </w:rPr>
      </w:pPr>
      <w:r>
        <w:rPr>
          <w:rFonts w:hint="eastAsia"/>
          <w:sz w:val="44"/>
          <w:szCs w:val="44"/>
          <w:lang w:eastAsia="zh-CN"/>
        </w:rPr>
        <w:t>托管协议</w:t>
      </w:r>
    </w:p>
    <w:p>
      <w:pPr>
        <w:ind w:firstLine="480"/>
        <w:rPr>
          <w:sz w:val="44"/>
          <w:szCs w:val="44"/>
          <w:lang w:eastAsia="zh-CN"/>
        </w:rPr>
      </w:pPr>
    </w:p>
    <w:p>
      <w:pPr>
        <w:ind w:firstLine="480"/>
        <w:rPr>
          <w:sz w:val="44"/>
          <w:szCs w:val="44"/>
          <w:lang w:eastAsia="zh-CN"/>
        </w:rPr>
      </w:pPr>
    </w:p>
    <w:p>
      <w:pPr>
        <w:ind w:firstLine="480"/>
        <w:rPr>
          <w:sz w:val="44"/>
          <w:szCs w:val="44"/>
          <w:lang w:eastAsia="zh-CN"/>
        </w:rPr>
      </w:pPr>
    </w:p>
    <w:p>
      <w:pPr>
        <w:ind w:firstLine="480"/>
        <w:rPr>
          <w:sz w:val="44"/>
          <w:szCs w:val="44"/>
          <w:lang w:eastAsia="zh-CN"/>
        </w:rPr>
      </w:pPr>
    </w:p>
    <w:p>
      <w:pPr>
        <w:ind w:firstLine="480"/>
        <w:rPr>
          <w:sz w:val="44"/>
          <w:szCs w:val="44"/>
          <w:lang w:eastAsia="zh-CN"/>
        </w:rPr>
      </w:pPr>
    </w:p>
    <w:p>
      <w:pPr>
        <w:ind w:firstLine="480"/>
        <w:rPr>
          <w:sz w:val="44"/>
          <w:szCs w:val="44"/>
          <w:lang w:eastAsia="zh-CN"/>
        </w:rPr>
      </w:pPr>
    </w:p>
    <w:p>
      <w:pPr>
        <w:jc w:val="center"/>
        <w:rPr>
          <w:sz w:val="32"/>
          <w:szCs w:val="32"/>
          <w:lang w:eastAsia="zh-CN"/>
        </w:rPr>
      </w:pPr>
      <w:r>
        <w:rPr>
          <w:rFonts w:hint="eastAsia"/>
          <w:sz w:val="32"/>
          <w:szCs w:val="32"/>
          <w:lang w:eastAsia="zh-CN"/>
        </w:rPr>
        <w:t>基金管理人：浦银安盛</w:t>
      </w:r>
      <w:r>
        <w:rPr>
          <w:sz w:val="32"/>
          <w:szCs w:val="32"/>
          <w:lang w:eastAsia="zh-CN"/>
        </w:rPr>
        <w:t>基金管理有限公司</w:t>
      </w:r>
    </w:p>
    <w:p>
      <w:pPr>
        <w:jc w:val="center"/>
        <w:rPr>
          <w:sz w:val="32"/>
          <w:szCs w:val="32"/>
          <w:lang w:eastAsia="zh-CN"/>
        </w:rPr>
      </w:pPr>
      <w:r>
        <w:rPr>
          <w:rFonts w:hint="eastAsia"/>
          <w:sz w:val="32"/>
          <w:szCs w:val="32"/>
          <w:lang w:eastAsia="zh-CN"/>
        </w:rPr>
        <w:t>基金托管人：中国邮政储蓄银行股份有限公司</w:t>
      </w:r>
    </w:p>
    <w:p>
      <w:pPr>
        <w:ind w:firstLine="480"/>
        <w:rPr>
          <w:sz w:val="44"/>
          <w:szCs w:val="44"/>
          <w:lang w:eastAsia="zh-CN"/>
        </w:rPr>
      </w:pPr>
    </w:p>
    <w:p>
      <w:pPr>
        <w:ind w:firstLine="480"/>
        <w:rPr>
          <w:lang w:eastAsia="zh-CN"/>
        </w:rPr>
      </w:pPr>
    </w:p>
    <w:p>
      <w:pPr>
        <w:ind w:firstLine="480"/>
        <w:rPr>
          <w:lang w:eastAsia="zh-CN"/>
        </w:rPr>
      </w:pPr>
    </w:p>
    <w:p>
      <w:pPr>
        <w:ind w:firstLine="480"/>
        <w:rPr>
          <w:lang w:eastAsia="zh-CN"/>
        </w:rPr>
      </w:pPr>
    </w:p>
    <w:p>
      <w:pPr>
        <w:ind w:firstLine="480"/>
        <w:rPr>
          <w:lang w:eastAsia="zh-CN"/>
        </w:rPr>
      </w:pPr>
    </w:p>
    <w:p>
      <w:pPr>
        <w:ind w:firstLine="480"/>
        <w:rPr>
          <w:lang w:eastAsia="zh-CN"/>
        </w:rPr>
      </w:pPr>
    </w:p>
    <w:p>
      <w:pPr>
        <w:jc w:val="center"/>
        <w:rPr>
          <w:sz w:val="30"/>
          <w:szCs w:val="30"/>
          <w:lang w:eastAsia="zh-CN"/>
        </w:rPr>
      </w:pPr>
    </w:p>
    <w:p>
      <w:pPr>
        <w:jc w:val="center"/>
        <w:rPr>
          <w:lang w:eastAsia="zh-CN"/>
        </w:rPr>
      </w:pPr>
    </w:p>
    <w:p>
      <w:pPr>
        <w:jc w:val="center"/>
        <w:rPr>
          <w:lang w:eastAsia="zh-CN"/>
        </w:rPr>
      </w:pPr>
    </w:p>
    <w:p>
      <w:pPr>
        <w:jc w:val="center"/>
        <w:rPr>
          <w:lang w:eastAsia="zh-CN"/>
        </w:rPr>
      </w:pPr>
      <w:r>
        <w:rPr>
          <w:rFonts w:hint="eastAsia"/>
          <w:lang w:eastAsia="zh-CN"/>
        </w:rPr>
        <w:t>目    录</w:t>
      </w:r>
    </w:p>
    <w:p>
      <w:pPr>
        <w:pStyle w:val="17"/>
        <w:tabs>
          <w:tab w:val="right" w:leader="hyphen" w:pos="8302"/>
        </w:tabs>
        <w:rPr>
          <w:lang w:eastAsia="zh-CN"/>
        </w:rPr>
      </w:pPr>
      <w:r>
        <w:rPr>
          <w:lang w:eastAsia="zh-CN"/>
        </w:rPr>
        <w:fldChar w:fldCharType="begin"/>
      </w:r>
      <w:r>
        <w:rPr>
          <w:lang w:eastAsia="zh-CN"/>
        </w:rPr>
        <w:instrText xml:space="preserve">TOC \o "1-1" \h \z \u</w:instrText>
      </w:r>
      <w:r>
        <w:rPr>
          <w:lang w:eastAsia="zh-CN"/>
        </w:rPr>
        <w:fldChar w:fldCharType="separate"/>
      </w:r>
      <w:r>
        <w:fldChar w:fldCharType="begin"/>
      </w:r>
      <w:r>
        <w:instrText xml:space="preserve"> HYPERLINK \l "_Toc296541719" </w:instrText>
      </w:r>
      <w:r>
        <w:fldChar w:fldCharType="separate"/>
      </w:r>
      <w:r>
        <w:rPr>
          <w:rStyle w:val="21"/>
          <w:rFonts w:hint="eastAsia"/>
          <w:lang w:eastAsia="zh-CN"/>
        </w:rPr>
        <w:t>一、基金托管协议当事人</w:t>
      </w:r>
      <w:r>
        <w:rPr>
          <w:lang w:eastAsia="zh-CN"/>
        </w:rPr>
        <w:tab/>
      </w:r>
      <w:r>
        <w:rPr>
          <w:lang w:eastAsia="zh-CN"/>
        </w:rPr>
        <w:fldChar w:fldCharType="begin"/>
      </w:r>
      <w:r>
        <w:rPr>
          <w:lang w:eastAsia="zh-CN"/>
        </w:rPr>
        <w:instrText xml:space="preserve"> PAGEREF _Toc296541719 \h </w:instrText>
      </w:r>
      <w:r>
        <w:rPr>
          <w:lang w:eastAsia="zh-CN"/>
        </w:rPr>
        <w:fldChar w:fldCharType="separate"/>
      </w:r>
      <w:r>
        <w:rPr>
          <w:lang w:eastAsia="zh-CN"/>
        </w:rPr>
        <w:t>3</w:t>
      </w:r>
      <w:r>
        <w:rPr>
          <w:lang w:eastAsia="zh-CN"/>
        </w:rPr>
        <w:fldChar w:fldCharType="end"/>
      </w:r>
      <w:r>
        <w:rPr>
          <w:lang w:eastAsia="zh-CN"/>
        </w:rPr>
        <w:fldChar w:fldCharType="end"/>
      </w:r>
    </w:p>
    <w:p>
      <w:pPr>
        <w:pStyle w:val="17"/>
        <w:tabs>
          <w:tab w:val="right" w:leader="hyphen" w:pos="8302"/>
        </w:tabs>
        <w:rPr>
          <w:lang w:eastAsia="zh-CN"/>
        </w:rPr>
      </w:pPr>
      <w:r>
        <w:fldChar w:fldCharType="begin"/>
      </w:r>
      <w:r>
        <w:instrText xml:space="preserve"> HYPERLINK \l "_Toc296541720" </w:instrText>
      </w:r>
      <w:r>
        <w:fldChar w:fldCharType="separate"/>
      </w:r>
      <w:r>
        <w:rPr>
          <w:rStyle w:val="21"/>
          <w:rFonts w:hint="eastAsia"/>
          <w:lang w:eastAsia="zh-CN"/>
        </w:rPr>
        <w:t>二、基金托管协议的依据、目的和原则</w:t>
      </w:r>
      <w:r>
        <w:rPr>
          <w:lang w:eastAsia="zh-CN"/>
        </w:rPr>
        <w:tab/>
      </w:r>
      <w:r>
        <w:rPr>
          <w:lang w:eastAsia="zh-CN"/>
        </w:rPr>
        <w:fldChar w:fldCharType="begin"/>
      </w:r>
      <w:r>
        <w:rPr>
          <w:lang w:eastAsia="zh-CN"/>
        </w:rPr>
        <w:instrText xml:space="preserve"> PAGEREF _Toc296541720 \h </w:instrText>
      </w:r>
      <w:r>
        <w:rPr>
          <w:lang w:eastAsia="zh-CN"/>
        </w:rPr>
        <w:fldChar w:fldCharType="separate"/>
      </w:r>
      <w:r>
        <w:rPr>
          <w:lang w:eastAsia="zh-CN"/>
        </w:rPr>
        <w:t>4</w:t>
      </w:r>
      <w:r>
        <w:rPr>
          <w:lang w:eastAsia="zh-CN"/>
        </w:rPr>
        <w:fldChar w:fldCharType="end"/>
      </w:r>
      <w:r>
        <w:rPr>
          <w:lang w:eastAsia="zh-CN"/>
        </w:rPr>
        <w:fldChar w:fldCharType="end"/>
      </w:r>
    </w:p>
    <w:p>
      <w:pPr>
        <w:pStyle w:val="17"/>
        <w:tabs>
          <w:tab w:val="right" w:leader="hyphen" w:pos="8302"/>
        </w:tabs>
        <w:rPr>
          <w:lang w:eastAsia="zh-CN"/>
        </w:rPr>
      </w:pPr>
      <w:r>
        <w:fldChar w:fldCharType="begin"/>
      </w:r>
      <w:r>
        <w:instrText xml:space="preserve"> HYPERLINK \l "_Toc296541721" </w:instrText>
      </w:r>
      <w:r>
        <w:fldChar w:fldCharType="separate"/>
      </w:r>
      <w:r>
        <w:rPr>
          <w:rStyle w:val="21"/>
          <w:rFonts w:hint="eastAsia"/>
          <w:lang w:eastAsia="zh-CN"/>
        </w:rPr>
        <w:t>三、基金托管人对基金</w:t>
      </w:r>
      <w:bookmarkStart w:id="0" w:name="_Hlt343786376"/>
      <w:bookmarkStart w:id="1" w:name="_Hlt343786377"/>
      <w:r>
        <w:rPr>
          <w:rStyle w:val="21"/>
          <w:rFonts w:hint="eastAsia"/>
          <w:lang w:eastAsia="zh-CN"/>
        </w:rPr>
        <w:t>管</w:t>
      </w:r>
      <w:bookmarkEnd w:id="0"/>
      <w:bookmarkEnd w:id="1"/>
      <w:r>
        <w:rPr>
          <w:rStyle w:val="21"/>
          <w:rFonts w:hint="eastAsia"/>
          <w:lang w:eastAsia="zh-CN"/>
        </w:rPr>
        <w:t>理人的业务监督和核查</w:t>
      </w:r>
      <w:r>
        <w:rPr>
          <w:lang w:eastAsia="zh-CN"/>
        </w:rPr>
        <w:tab/>
      </w:r>
      <w:r>
        <w:rPr>
          <w:lang w:eastAsia="zh-CN"/>
        </w:rPr>
        <w:fldChar w:fldCharType="begin"/>
      </w:r>
      <w:r>
        <w:rPr>
          <w:lang w:eastAsia="zh-CN"/>
        </w:rPr>
        <w:instrText xml:space="preserve"> PAGEREF _Toc296541721 \h </w:instrText>
      </w:r>
      <w:r>
        <w:rPr>
          <w:lang w:eastAsia="zh-CN"/>
        </w:rPr>
        <w:fldChar w:fldCharType="separate"/>
      </w:r>
      <w:r>
        <w:rPr>
          <w:lang w:eastAsia="zh-CN"/>
        </w:rPr>
        <w:t>5</w:t>
      </w:r>
      <w:r>
        <w:rPr>
          <w:lang w:eastAsia="zh-CN"/>
        </w:rPr>
        <w:fldChar w:fldCharType="end"/>
      </w:r>
      <w:r>
        <w:rPr>
          <w:lang w:eastAsia="zh-CN"/>
        </w:rPr>
        <w:fldChar w:fldCharType="end"/>
      </w:r>
    </w:p>
    <w:p>
      <w:pPr>
        <w:pStyle w:val="17"/>
        <w:tabs>
          <w:tab w:val="right" w:leader="hyphen" w:pos="8302"/>
        </w:tabs>
        <w:rPr>
          <w:lang w:eastAsia="zh-CN"/>
        </w:rPr>
      </w:pPr>
      <w:r>
        <w:fldChar w:fldCharType="begin"/>
      </w:r>
      <w:r>
        <w:instrText xml:space="preserve"> HYPERLINK \l "_Toc296541722" </w:instrText>
      </w:r>
      <w:r>
        <w:fldChar w:fldCharType="separate"/>
      </w:r>
      <w:r>
        <w:rPr>
          <w:rStyle w:val="21"/>
          <w:rFonts w:hint="eastAsia"/>
          <w:lang w:eastAsia="zh-CN"/>
        </w:rPr>
        <w:t>四、基金管理人对基金托管人的业务核查</w:t>
      </w:r>
      <w:r>
        <w:rPr>
          <w:lang w:eastAsia="zh-CN"/>
        </w:rPr>
        <w:tab/>
      </w:r>
      <w:r>
        <w:rPr>
          <w:lang w:eastAsia="zh-CN"/>
        </w:rPr>
        <w:fldChar w:fldCharType="begin"/>
      </w:r>
      <w:r>
        <w:rPr>
          <w:lang w:eastAsia="zh-CN"/>
        </w:rPr>
        <w:instrText xml:space="preserve"> PAGEREF _Toc296541722 \h </w:instrText>
      </w:r>
      <w:r>
        <w:rPr>
          <w:lang w:eastAsia="zh-CN"/>
        </w:rPr>
        <w:fldChar w:fldCharType="separate"/>
      </w:r>
      <w:r>
        <w:rPr>
          <w:lang w:eastAsia="zh-CN"/>
        </w:rPr>
        <w:t>17</w:t>
      </w:r>
      <w:r>
        <w:rPr>
          <w:lang w:eastAsia="zh-CN"/>
        </w:rPr>
        <w:fldChar w:fldCharType="end"/>
      </w:r>
      <w:r>
        <w:rPr>
          <w:lang w:eastAsia="zh-CN"/>
        </w:rPr>
        <w:fldChar w:fldCharType="end"/>
      </w:r>
    </w:p>
    <w:p>
      <w:pPr>
        <w:pStyle w:val="17"/>
        <w:tabs>
          <w:tab w:val="right" w:leader="hyphen" w:pos="8302"/>
        </w:tabs>
        <w:rPr>
          <w:lang w:eastAsia="zh-CN"/>
        </w:rPr>
      </w:pPr>
      <w:r>
        <w:fldChar w:fldCharType="begin"/>
      </w:r>
      <w:r>
        <w:instrText xml:space="preserve"> HYPERLINK \l "_Toc296541723" </w:instrText>
      </w:r>
      <w:r>
        <w:fldChar w:fldCharType="separate"/>
      </w:r>
      <w:r>
        <w:rPr>
          <w:rStyle w:val="21"/>
          <w:rFonts w:hint="eastAsia"/>
          <w:lang w:eastAsia="zh-CN"/>
        </w:rPr>
        <w:t>五、基金财产的保管</w:t>
      </w:r>
      <w:r>
        <w:rPr>
          <w:lang w:eastAsia="zh-CN"/>
        </w:rPr>
        <w:tab/>
      </w:r>
      <w:r>
        <w:rPr>
          <w:lang w:eastAsia="zh-CN"/>
        </w:rPr>
        <w:fldChar w:fldCharType="begin"/>
      </w:r>
      <w:r>
        <w:rPr>
          <w:lang w:eastAsia="zh-CN"/>
        </w:rPr>
        <w:instrText xml:space="preserve"> PAGEREF _Toc296541723 \h </w:instrText>
      </w:r>
      <w:r>
        <w:rPr>
          <w:lang w:eastAsia="zh-CN"/>
        </w:rPr>
        <w:fldChar w:fldCharType="separate"/>
      </w:r>
      <w:r>
        <w:rPr>
          <w:lang w:eastAsia="zh-CN"/>
        </w:rPr>
        <w:t>17</w:t>
      </w:r>
      <w:r>
        <w:rPr>
          <w:lang w:eastAsia="zh-CN"/>
        </w:rPr>
        <w:fldChar w:fldCharType="end"/>
      </w:r>
      <w:r>
        <w:rPr>
          <w:lang w:eastAsia="zh-CN"/>
        </w:rPr>
        <w:fldChar w:fldCharType="end"/>
      </w:r>
    </w:p>
    <w:p>
      <w:pPr>
        <w:pStyle w:val="17"/>
        <w:tabs>
          <w:tab w:val="right" w:leader="hyphen" w:pos="8302"/>
        </w:tabs>
        <w:rPr>
          <w:lang w:eastAsia="zh-CN"/>
        </w:rPr>
      </w:pPr>
      <w:r>
        <w:fldChar w:fldCharType="begin"/>
      </w:r>
      <w:r>
        <w:instrText xml:space="preserve"> HYPERLINK \l "_Toc296541724" </w:instrText>
      </w:r>
      <w:r>
        <w:fldChar w:fldCharType="separate"/>
      </w:r>
      <w:r>
        <w:rPr>
          <w:rStyle w:val="21"/>
          <w:rFonts w:hint="eastAsia"/>
          <w:lang w:eastAsia="zh-CN"/>
        </w:rPr>
        <w:t>六、指令的发送、确认及执行</w:t>
      </w:r>
      <w:r>
        <w:rPr>
          <w:lang w:eastAsia="zh-CN"/>
        </w:rPr>
        <w:tab/>
      </w:r>
      <w:r>
        <w:rPr>
          <w:lang w:eastAsia="zh-CN"/>
        </w:rPr>
        <w:fldChar w:fldCharType="begin"/>
      </w:r>
      <w:r>
        <w:rPr>
          <w:lang w:eastAsia="zh-CN"/>
        </w:rPr>
        <w:instrText xml:space="preserve"> PAGEREF _Toc296541724 \h </w:instrText>
      </w:r>
      <w:r>
        <w:rPr>
          <w:lang w:eastAsia="zh-CN"/>
        </w:rPr>
        <w:fldChar w:fldCharType="separate"/>
      </w:r>
      <w:r>
        <w:rPr>
          <w:lang w:eastAsia="zh-CN"/>
        </w:rPr>
        <w:t>21</w:t>
      </w:r>
      <w:r>
        <w:rPr>
          <w:lang w:eastAsia="zh-CN"/>
        </w:rPr>
        <w:fldChar w:fldCharType="end"/>
      </w:r>
      <w:r>
        <w:rPr>
          <w:lang w:eastAsia="zh-CN"/>
        </w:rPr>
        <w:fldChar w:fldCharType="end"/>
      </w:r>
    </w:p>
    <w:p>
      <w:pPr>
        <w:pStyle w:val="17"/>
        <w:tabs>
          <w:tab w:val="right" w:leader="hyphen" w:pos="8302"/>
        </w:tabs>
        <w:rPr>
          <w:lang w:eastAsia="zh-CN"/>
        </w:rPr>
      </w:pPr>
      <w:r>
        <w:fldChar w:fldCharType="begin"/>
      </w:r>
      <w:r>
        <w:instrText xml:space="preserve"> HYPERLINK \l "_Toc296541725" </w:instrText>
      </w:r>
      <w:r>
        <w:fldChar w:fldCharType="separate"/>
      </w:r>
      <w:r>
        <w:rPr>
          <w:rStyle w:val="21"/>
          <w:rFonts w:hint="eastAsia"/>
          <w:lang w:eastAsia="zh-CN"/>
        </w:rPr>
        <w:t>七、交易及清算</w:t>
      </w:r>
      <w:bookmarkStart w:id="2" w:name="_Hlt344201413"/>
      <w:bookmarkStart w:id="3" w:name="_Hlt344201412"/>
      <w:bookmarkStart w:id="4" w:name="_Hlt338162753"/>
      <w:r>
        <w:rPr>
          <w:rStyle w:val="21"/>
          <w:rFonts w:hint="eastAsia"/>
          <w:lang w:eastAsia="zh-CN"/>
        </w:rPr>
        <w:t>交</w:t>
      </w:r>
      <w:bookmarkEnd w:id="2"/>
      <w:bookmarkEnd w:id="3"/>
      <w:bookmarkEnd w:id="4"/>
      <w:r>
        <w:rPr>
          <w:rStyle w:val="21"/>
          <w:rFonts w:hint="eastAsia"/>
          <w:lang w:eastAsia="zh-CN"/>
        </w:rPr>
        <w:t>收安排</w:t>
      </w:r>
      <w:r>
        <w:rPr>
          <w:lang w:eastAsia="zh-CN"/>
        </w:rPr>
        <w:tab/>
      </w:r>
      <w:r>
        <w:rPr>
          <w:lang w:eastAsia="zh-CN"/>
        </w:rPr>
        <w:fldChar w:fldCharType="begin"/>
      </w:r>
      <w:r>
        <w:rPr>
          <w:lang w:eastAsia="zh-CN"/>
        </w:rPr>
        <w:instrText xml:space="preserve"> PAGEREF _Toc296541725 \h </w:instrText>
      </w:r>
      <w:r>
        <w:rPr>
          <w:lang w:eastAsia="zh-CN"/>
        </w:rPr>
        <w:fldChar w:fldCharType="separate"/>
      </w:r>
      <w:r>
        <w:rPr>
          <w:lang w:eastAsia="zh-CN"/>
        </w:rPr>
        <w:t>25</w:t>
      </w:r>
      <w:r>
        <w:rPr>
          <w:lang w:eastAsia="zh-CN"/>
        </w:rPr>
        <w:fldChar w:fldCharType="end"/>
      </w:r>
      <w:r>
        <w:rPr>
          <w:lang w:eastAsia="zh-CN"/>
        </w:rPr>
        <w:fldChar w:fldCharType="end"/>
      </w:r>
    </w:p>
    <w:p>
      <w:pPr>
        <w:pStyle w:val="17"/>
        <w:tabs>
          <w:tab w:val="right" w:leader="hyphen" w:pos="8302"/>
        </w:tabs>
        <w:rPr>
          <w:lang w:eastAsia="zh-CN"/>
        </w:rPr>
      </w:pPr>
      <w:r>
        <w:fldChar w:fldCharType="begin"/>
      </w:r>
      <w:r>
        <w:instrText xml:space="preserve"> HYPERLINK \l "_Toc296541726" </w:instrText>
      </w:r>
      <w:r>
        <w:fldChar w:fldCharType="separate"/>
      </w:r>
      <w:r>
        <w:rPr>
          <w:rStyle w:val="21"/>
          <w:rFonts w:hint="eastAsia"/>
          <w:lang w:eastAsia="zh-CN"/>
        </w:rPr>
        <w:t>八、基金资产净值计算和会计核算</w:t>
      </w:r>
      <w:r>
        <w:rPr>
          <w:lang w:eastAsia="zh-CN"/>
        </w:rPr>
        <w:tab/>
      </w:r>
      <w:r>
        <w:rPr>
          <w:lang w:eastAsia="zh-CN"/>
        </w:rPr>
        <w:fldChar w:fldCharType="begin"/>
      </w:r>
      <w:r>
        <w:rPr>
          <w:lang w:eastAsia="zh-CN"/>
        </w:rPr>
        <w:instrText xml:space="preserve"> PAGEREF _Toc296541726 \h </w:instrText>
      </w:r>
      <w:r>
        <w:rPr>
          <w:lang w:eastAsia="zh-CN"/>
        </w:rPr>
        <w:fldChar w:fldCharType="separate"/>
      </w:r>
      <w:r>
        <w:rPr>
          <w:lang w:eastAsia="zh-CN"/>
        </w:rPr>
        <w:t>29</w:t>
      </w:r>
      <w:r>
        <w:rPr>
          <w:lang w:eastAsia="zh-CN"/>
        </w:rPr>
        <w:fldChar w:fldCharType="end"/>
      </w:r>
      <w:r>
        <w:rPr>
          <w:lang w:eastAsia="zh-CN"/>
        </w:rPr>
        <w:fldChar w:fldCharType="end"/>
      </w:r>
    </w:p>
    <w:p>
      <w:pPr>
        <w:pStyle w:val="17"/>
        <w:tabs>
          <w:tab w:val="right" w:leader="hyphen" w:pos="8302"/>
        </w:tabs>
        <w:rPr>
          <w:lang w:eastAsia="zh-CN"/>
        </w:rPr>
      </w:pPr>
      <w:r>
        <w:fldChar w:fldCharType="begin"/>
      </w:r>
      <w:r>
        <w:instrText xml:space="preserve"> HYPERLINK \l "_Toc296541727" </w:instrText>
      </w:r>
      <w:r>
        <w:fldChar w:fldCharType="separate"/>
      </w:r>
      <w:r>
        <w:rPr>
          <w:rStyle w:val="21"/>
          <w:rFonts w:hint="eastAsia"/>
          <w:lang w:eastAsia="zh-CN"/>
        </w:rPr>
        <w:t>九、基金收益</w:t>
      </w:r>
      <w:bookmarkStart w:id="5" w:name="_Hlt335057550"/>
      <w:bookmarkStart w:id="6" w:name="_Hlt335057551"/>
      <w:r>
        <w:rPr>
          <w:rStyle w:val="21"/>
          <w:rFonts w:hint="eastAsia"/>
          <w:lang w:eastAsia="zh-CN"/>
        </w:rPr>
        <w:t>分</w:t>
      </w:r>
      <w:bookmarkEnd w:id="5"/>
      <w:bookmarkEnd w:id="6"/>
      <w:r>
        <w:rPr>
          <w:rStyle w:val="21"/>
          <w:rFonts w:hint="eastAsia"/>
          <w:lang w:eastAsia="zh-CN"/>
        </w:rPr>
        <w:t>配</w:t>
      </w:r>
      <w:r>
        <w:rPr>
          <w:lang w:eastAsia="zh-CN"/>
        </w:rPr>
        <w:tab/>
      </w:r>
      <w:r>
        <w:rPr>
          <w:lang w:eastAsia="zh-CN"/>
        </w:rPr>
        <w:fldChar w:fldCharType="begin"/>
      </w:r>
      <w:r>
        <w:rPr>
          <w:lang w:eastAsia="zh-CN"/>
        </w:rPr>
        <w:instrText xml:space="preserve"> PAGEREF _Toc296541727 \h </w:instrText>
      </w:r>
      <w:r>
        <w:rPr>
          <w:lang w:eastAsia="zh-CN"/>
        </w:rPr>
        <w:fldChar w:fldCharType="separate"/>
      </w:r>
      <w:r>
        <w:rPr>
          <w:lang w:eastAsia="zh-CN"/>
        </w:rPr>
        <w:t>37</w:t>
      </w:r>
      <w:r>
        <w:rPr>
          <w:lang w:eastAsia="zh-CN"/>
        </w:rPr>
        <w:fldChar w:fldCharType="end"/>
      </w:r>
      <w:r>
        <w:rPr>
          <w:lang w:eastAsia="zh-CN"/>
        </w:rPr>
        <w:fldChar w:fldCharType="end"/>
      </w:r>
    </w:p>
    <w:p>
      <w:pPr>
        <w:pStyle w:val="17"/>
        <w:tabs>
          <w:tab w:val="right" w:leader="hyphen" w:pos="8302"/>
        </w:tabs>
        <w:rPr>
          <w:lang w:eastAsia="zh-CN"/>
        </w:rPr>
      </w:pPr>
      <w:r>
        <w:fldChar w:fldCharType="begin"/>
      </w:r>
      <w:r>
        <w:instrText xml:space="preserve"> HYPERLINK \l "_Toc296541728" </w:instrText>
      </w:r>
      <w:r>
        <w:fldChar w:fldCharType="separate"/>
      </w:r>
      <w:r>
        <w:rPr>
          <w:rStyle w:val="21"/>
          <w:rFonts w:hint="eastAsia"/>
          <w:lang w:eastAsia="zh-CN"/>
        </w:rPr>
        <w:t>十、基金信息披露</w:t>
      </w:r>
      <w:r>
        <w:rPr>
          <w:lang w:eastAsia="zh-CN"/>
        </w:rPr>
        <w:tab/>
      </w:r>
      <w:r>
        <w:rPr>
          <w:lang w:eastAsia="zh-CN"/>
        </w:rPr>
        <w:fldChar w:fldCharType="begin"/>
      </w:r>
      <w:r>
        <w:rPr>
          <w:lang w:eastAsia="zh-CN"/>
        </w:rPr>
        <w:instrText xml:space="preserve"> PAGEREF _Toc296541728 \h </w:instrText>
      </w:r>
      <w:r>
        <w:rPr>
          <w:lang w:eastAsia="zh-CN"/>
        </w:rPr>
        <w:fldChar w:fldCharType="separate"/>
      </w:r>
      <w:r>
        <w:rPr>
          <w:lang w:eastAsia="zh-CN"/>
        </w:rPr>
        <w:t>38</w:t>
      </w:r>
      <w:r>
        <w:rPr>
          <w:lang w:eastAsia="zh-CN"/>
        </w:rPr>
        <w:fldChar w:fldCharType="end"/>
      </w:r>
      <w:r>
        <w:rPr>
          <w:lang w:eastAsia="zh-CN"/>
        </w:rPr>
        <w:fldChar w:fldCharType="end"/>
      </w:r>
    </w:p>
    <w:p>
      <w:pPr>
        <w:pStyle w:val="17"/>
        <w:tabs>
          <w:tab w:val="right" w:leader="hyphen" w:pos="8302"/>
        </w:tabs>
        <w:rPr>
          <w:lang w:eastAsia="zh-CN"/>
        </w:rPr>
      </w:pPr>
      <w:r>
        <w:fldChar w:fldCharType="begin"/>
      </w:r>
      <w:r>
        <w:instrText xml:space="preserve"> HYPERLINK \l "_Toc296541729" </w:instrText>
      </w:r>
      <w:r>
        <w:fldChar w:fldCharType="separate"/>
      </w:r>
      <w:r>
        <w:rPr>
          <w:rStyle w:val="21"/>
          <w:rFonts w:hint="eastAsia"/>
          <w:lang w:eastAsia="zh-CN"/>
        </w:rPr>
        <w:t>十一、基金费用</w:t>
      </w:r>
      <w:r>
        <w:rPr>
          <w:lang w:eastAsia="zh-CN"/>
        </w:rPr>
        <w:tab/>
      </w:r>
      <w:r>
        <w:rPr>
          <w:lang w:eastAsia="zh-CN"/>
        </w:rPr>
        <w:fldChar w:fldCharType="begin"/>
      </w:r>
      <w:r>
        <w:rPr>
          <w:lang w:eastAsia="zh-CN"/>
        </w:rPr>
        <w:instrText xml:space="preserve"> PAGEREF _Toc296541729 \h </w:instrText>
      </w:r>
      <w:r>
        <w:rPr>
          <w:lang w:eastAsia="zh-CN"/>
        </w:rPr>
        <w:fldChar w:fldCharType="separate"/>
      </w:r>
      <w:r>
        <w:rPr>
          <w:lang w:eastAsia="zh-CN"/>
        </w:rPr>
        <w:t>40</w:t>
      </w:r>
      <w:r>
        <w:rPr>
          <w:lang w:eastAsia="zh-CN"/>
        </w:rPr>
        <w:fldChar w:fldCharType="end"/>
      </w:r>
      <w:r>
        <w:rPr>
          <w:lang w:eastAsia="zh-CN"/>
        </w:rPr>
        <w:fldChar w:fldCharType="end"/>
      </w:r>
    </w:p>
    <w:p>
      <w:pPr>
        <w:pStyle w:val="17"/>
        <w:tabs>
          <w:tab w:val="right" w:leader="hyphen" w:pos="8302"/>
        </w:tabs>
        <w:rPr>
          <w:lang w:eastAsia="zh-CN"/>
        </w:rPr>
      </w:pPr>
      <w:r>
        <w:fldChar w:fldCharType="begin"/>
      </w:r>
      <w:r>
        <w:instrText xml:space="preserve"> HYPERLINK \l "_Toc296541730" </w:instrText>
      </w:r>
      <w:r>
        <w:fldChar w:fldCharType="separate"/>
      </w:r>
      <w:r>
        <w:rPr>
          <w:rStyle w:val="21"/>
          <w:rFonts w:hint="eastAsia"/>
          <w:lang w:eastAsia="zh-CN"/>
        </w:rPr>
        <w:t>十二、基金份额持有人名册的登记与保管</w:t>
      </w:r>
      <w:r>
        <w:rPr>
          <w:lang w:eastAsia="zh-CN"/>
        </w:rPr>
        <w:tab/>
      </w:r>
      <w:r>
        <w:rPr>
          <w:lang w:eastAsia="zh-CN"/>
        </w:rPr>
        <w:fldChar w:fldCharType="begin"/>
      </w:r>
      <w:r>
        <w:rPr>
          <w:lang w:eastAsia="zh-CN"/>
        </w:rPr>
        <w:instrText xml:space="preserve"> PAGEREF _Toc296541730 \h </w:instrText>
      </w:r>
      <w:r>
        <w:rPr>
          <w:lang w:eastAsia="zh-CN"/>
        </w:rPr>
        <w:fldChar w:fldCharType="separate"/>
      </w:r>
      <w:r>
        <w:rPr>
          <w:lang w:eastAsia="zh-CN"/>
        </w:rPr>
        <w:t>42</w:t>
      </w:r>
      <w:r>
        <w:rPr>
          <w:lang w:eastAsia="zh-CN"/>
        </w:rPr>
        <w:fldChar w:fldCharType="end"/>
      </w:r>
      <w:r>
        <w:rPr>
          <w:lang w:eastAsia="zh-CN"/>
        </w:rPr>
        <w:fldChar w:fldCharType="end"/>
      </w:r>
    </w:p>
    <w:p>
      <w:pPr>
        <w:pStyle w:val="17"/>
        <w:tabs>
          <w:tab w:val="right" w:leader="hyphen" w:pos="8302"/>
        </w:tabs>
        <w:rPr>
          <w:lang w:eastAsia="zh-CN"/>
        </w:rPr>
      </w:pPr>
      <w:r>
        <w:fldChar w:fldCharType="begin"/>
      </w:r>
      <w:r>
        <w:instrText xml:space="preserve"> HYPERLINK \l "_Toc296541731" </w:instrText>
      </w:r>
      <w:r>
        <w:fldChar w:fldCharType="separate"/>
      </w:r>
      <w:r>
        <w:rPr>
          <w:rStyle w:val="21"/>
          <w:rFonts w:hint="eastAsia"/>
          <w:lang w:eastAsia="zh-CN"/>
        </w:rPr>
        <w:t>十三、基金有关文件档案的保存</w:t>
      </w:r>
      <w:r>
        <w:rPr>
          <w:lang w:eastAsia="zh-CN"/>
        </w:rPr>
        <w:tab/>
      </w:r>
      <w:r>
        <w:rPr>
          <w:lang w:eastAsia="zh-CN"/>
        </w:rPr>
        <w:fldChar w:fldCharType="begin"/>
      </w:r>
      <w:r>
        <w:rPr>
          <w:lang w:eastAsia="zh-CN"/>
        </w:rPr>
        <w:instrText xml:space="preserve"> PAGEREF _Toc296541731 \h </w:instrText>
      </w:r>
      <w:r>
        <w:rPr>
          <w:lang w:eastAsia="zh-CN"/>
        </w:rPr>
        <w:fldChar w:fldCharType="separate"/>
      </w:r>
      <w:r>
        <w:rPr>
          <w:lang w:eastAsia="zh-CN"/>
        </w:rPr>
        <w:t>42</w:t>
      </w:r>
      <w:r>
        <w:rPr>
          <w:lang w:eastAsia="zh-CN"/>
        </w:rPr>
        <w:fldChar w:fldCharType="end"/>
      </w:r>
      <w:r>
        <w:rPr>
          <w:lang w:eastAsia="zh-CN"/>
        </w:rPr>
        <w:fldChar w:fldCharType="end"/>
      </w:r>
    </w:p>
    <w:p>
      <w:pPr>
        <w:pStyle w:val="17"/>
        <w:tabs>
          <w:tab w:val="right" w:leader="hyphen" w:pos="8302"/>
        </w:tabs>
        <w:rPr>
          <w:lang w:eastAsia="zh-CN"/>
        </w:rPr>
      </w:pPr>
      <w:r>
        <w:fldChar w:fldCharType="begin"/>
      </w:r>
      <w:r>
        <w:instrText xml:space="preserve"> HYPERLINK \l "_Toc296541732" </w:instrText>
      </w:r>
      <w:r>
        <w:fldChar w:fldCharType="separate"/>
      </w:r>
      <w:r>
        <w:rPr>
          <w:rStyle w:val="21"/>
          <w:rFonts w:hint="eastAsia"/>
          <w:lang w:eastAsia="zh-CN"/>
        </w:rPr>
        <w:t>十四、基金管理人和基金托管人的更换</w:t>
      </w:r>
      <w:r>
        <w:rPr>
          <w:lang w:eastAsia="zh-CN"/>
        </w:rPr>
        <w:tab/>
      </w:r>
      <w:r>
        <w:rPr>
          <w:lang w:eastAsia="zh-CN"/>
        </w:rPr>
        <w:fldChar w:fldCharType="begin"/>
      </w:r>
      <w:r>
        <w:rPr>
          <w:lang w:eastAsia="zh-CN"/>
        </w:rPr>
        <w:instrText xml:space="preserve"> PAGEREF _Toc296541732 \h </w:instrText>
      </w:r>
      <w:r>
        <w:rPr>
          <w:lang w:eastAsia="zh-CN"/>
        </w:rPr>
        <w:fldChar w:fldCharType="separate"/>
      </w:r>
      <w:r>
        <w:rPr>
          <w:lang w:eastAsia="zh-CN"/>
        </w:rPr>
        <w:t>43</w:t>
      </w:r>
      <w:r>
        <w:rPr>
          <w:lang w:eastAsia="zh-CN"/>
        </w:rPr>
        <w:fldChar w:fldCharType="end"/>
      </w:r>
      <w:r>
        <w:rPr>
          <w:lang w:eastAsia="zh-CN"/>
        </w:rPr>
        <w:fldChar w:fldCharType="end"/>
      </w:r>
    </w:p>
    <w:p>
      <w:pPr>
        <w:pStyle w:val="17"/>
        <w:tabs>
          <w:tab w:val="right" w:leader="hyphen" w:pos="8302"/>
        </w:tabs>
        <w:rPr>
          <w:lang w:eastAsia="zh-CN"/>
        </w:rPr>
      </w:pPr>
      <w:r>
        <w:fldChar w:fldCharType="begin"/>
      </w:r>
      <w:r>
        <w:instrText xml:space="preserve"> HYPERLINK \l "_Toc296541733" </w:instrText>
      </w:r>
      <w:r>
        <w:fldChar w:fldCharType="separate"/>
      </w:r>
      <w:r>
        <w:rPr>
          <w:rStyle w:val="21"/>
          <w:rFonts w:hint="eastAsia"/>
          <w:lang w:eastAsia="zh-CN"/>
        </w:rPr>
        <w:t>十五、禁止行为</w:t>
      </w:r>
      <w:r>
        <w:rPr>
          <w:lang w:eastAsia="zh-CN"/>
        </w:rPr>
        <w:tab/>
      </w:r>
      <w:r>
        <w:rPr>
          <w:lang w:eastAsia="zh-CN"/>
        </w:rPr>
        <w:fldChar w:fldCharType="begin"/>
      </w:r>
      <w:r>
        <w:rPr>
          <w:lang w:eastAsia="zh-CN"/>
        </w:rPr>
        <w:instrText xml:space="preserve"> PAGEREF _Toc296541733 \h </w:instrText>
      </w:r>
      <w:r>
        <w:rPr>
          <w:lang w:eastAsia="zh-CN"/>
        </w:rPr>
        <w:fldChar w:fldCharType="separate"/>
      </w:r>
      <w:r>
        <w:rPr>
          <w:lang w:eastAsia="zh-CN"/>
        </w:rPr>
        <w:t>46</w:t>
      </w:r>
      <w:r>
        <w:rPr>
          <w:lang w:eastAsia="zh-CN"/>
        </w:rPr>
        <w:fldChar w:fldCharType="end"/>
      </w:r>
      <w:r>
        <w:rPr>
          <w:lang w:eastAsia="zh-CN"/>
        </w:rPr>
        <w:fldChar w:fldCharType="end"/>
      </w:r>
    </w:p>
    <w:p>
      <w:pPr>
        <w:pStyle w:val="17"/>
        <w:tabs>
          <w:tab w:val="right" w:leader="hyphen" w:pos="8302"/>
        </w:tabs>
        <w:rPr>
          <w:lang w:eastAsia="zh-CN"/>
        </w:rPr>
      </w:pPr>
      <w:r>
        <w:fldChar w:fldCharType="begin"/>
      </w:r>
      <w:r>
        <w:instrText xml:space="preserve"> HYPERLINK \l "_Toc296541734" </w:instrText>
      </w:r>
      <w:r>
        <w:fldChar w:fldCharType="separate"/>
      </w:r>
      <w:r>
        <w:rPr>
          <w:rStyle w:val="21"/>
          <w:rFonts w:hint="eastAsia"/>
          <w:lang w:eastAsia="zh-CN"/>
        </w:rPr>
        <w:t>十六、托管协议的变更、</w:t>
      </w:r>
      <w:bookmarkStart w:id="7" w:name="_Hlt393378220"/>
      <w:bookmarkStart w:id="8" w:name="_Hlt393378219"/>
      <w:r>
        <w:rPr>
          <w:rStyle w:val="21"/>
          <w:rFonts w:hint="eastAsia"/>
          <w:lang w:eastAsia="zh-CN"/>
        </w:rPr>
        <w:t>终</w:t>
      </w:r>
      <w:bookmarkEnd w:id="7"/>
      <w:bookmarkEnd w:id="8"/>
      <w:r>
        <w:rPr>
          <w:rStyle w:val="21"/>
          <w:rFonts w:hint="eastAsia"/>
          <w:lang w:eastAsia="zh-CN"/>
        </w:rPr>
        <w:t>止与基金财产的清算</w:t>
      </w:r>
      <w:r>
        <w:rPr>
          <w:lang w:eastAsia="zh-CN"/>
        </w:rPr>
        <w:tab/>
      </w:r>
      <w:r>
        <w:rPr>
          <w:lang w:eastAsia="zh-CN"/>
        </w:rPr>
        <w:fldChar w:fldCharType="begin"/>
      </w:r>
      <w:r>
        <w:rPr>
          <w:lang w:eastAsia="zh-CN"/>
        </w:rPr>
        <w:instrText xml:space="preserve"> PAGEREF _Toc296541734 \h </w:instrText>
      </w:r>
      <w:r>
        <w:rPr>
          <w:lang w:eastAsia="zh-CN"/>
        </w:rPr>
        <w:fldChar w:fldCharType="separate"/>
      </w:r>
      <w:r>
        <w:rPr>
          <w:lang w:eastAsia="zh-CN"/>
        </w:rPr>
        <w:t>47</w:t>
      </w:r>
      <w:r>
        <w:rPr>
          <w:lang w:eastAsia="zh-CN"/>
        </w:rPr>
        <w:fldChar w:fldCharType="end"/>
      </w:r>
      <w:r>
        <w:rPr>
          <w:lang w:eastAsia="zh-CN"/>
        </w:rPr>
        <w:fldChar w:fldCharType="end"/>
      </w:r>
    </w:p>
    <w:p>
      <w:pPr>
        <w:pStyle w:val="17"/>
        <w:tabs>
          <w:tab w:val="right" w:leader="hyphen" w:pos="8302"/>
        </w:tabs>
        <w:rPr>
          <w:lang w:eastAsia="zh-CN"/>
        </w:rPr>
      </w:pPr>
      <w:r>
        <w:fldChar w:fldCharType="begin"/>
      </w:r>
      <w:r>
        <w:instrText xml:space="preserve"> HYPERLINK \l "_Toc296541735" </w:instrText>
      </w:r>
      <w:r>
        <w:fldChar w:fldCharType="separate"/>
      </w:r>
      <w:r>
        <w:rPr>
          <w:rStyle w:val="21"/>
          <w:rFonts w:hint="eastAsia"/>
          <w:lang w:eastAsia="zh-CN"/>
        </w:rPr>
        <w:t>十七、违约责任</w:t>
      </w:r>
      <w:r>
        <w:rPr>
          <w:lang w:eastAsia="zh-CN"/>
        </w:rPr>
        <w:tab/>
      </w:r>
      <w:r>
        <w:rPr>
          <w:lang w:eastAsia="zh-CN"/>
        </w:rPr>
        <w:fldChar w:fldCharType="begin"/>
      </w:r>
      <w:r>
        <w:rPr>
          <w:lang w:eastAsia="zh-CN"/>
        </w:rPr>
        <w:instrText xml:space="preserve"> PAGEREF _Toc296541735 \h </w:instrText>
      </w:r>
      <w:r>
        <w:rPr>
          <w:lang w:eastAsia="zh-CN"/>
        </w:rPr>
        <w:fldChar w:fldCharType="separate"/>
      </w:r>
      <w:r>
        <w:rPr>
          <w:lang w:eastAsia="zh-CN"/>
        </w:rPr>
        <w:t>49</w:t>
      </w:r>
      <w:r>
        <w:rPr>
          <w:lang w:eastAsia="zh-CN"/>
        </w:rPr>
        <w:fldChar w:fldCharType="end"/>
      </w:r>
      <w:r>
        <w:rPr>
          <w:lang w:eastAsia="zh-CN"/>
        </w:rPr>
        <w:fldChar w:fldCharType="end"/>
      </w:r>
    </w:p>
    <w:p>
      <w:pPr>
        <w:pStyle w:val="17"/>
        <w:tabs>
          <w:tab w:val="right" w:leader="hyphen" w:pos="8302"/>
        </w:tabs>
        <w:rPr>
          <w:lang w:eastAsia="zh-CN"/>
        </w:rPr>
      </w:pPr>
      <w:r>
        <w:fldChar w:fldCharType="begin"/>
      </w:r>
      <w:r>
        <w:instrText xml:space="preserve"> HYPERLINK \l "_Toc296541736" </w:instrText>
      </w:r>
      <w:r>
        <w:fldChar w:fldCharType="separate"/>
      </w:r>
      <w:r>
        <w:rPr>
          <w:rStyle w:val="21"/>
          <w:rFonts w:hint="eastAsia"/>
          <w:lang w:eastAsia="zh-CN"/>
        </w:rPr>
        <w:t>十八、争议解决方式</w:t>
      </w:r>
      <w:r>
        <w:rPr>
          <w:lang w:eastAsia="zh-CN"/>
        </w:rPr>
        <w:tab/>
      </w:r>
      <w:r>
        <w:rPr>
          <w:lang w:eastAsia="zh-CN"/>
        </w:rPr>
        <w:fldChar w:fldCharType="begin"/>
      </w:r>
      <w:r>
        <w:rPr>
          <w:lang w:eastAsia="zh-CN"/>
        </w:rPr>
        <w:instrText xml:space="preserve"> PAGEREF _Toc296541736 \h </w:instrText>
      </w:r>
      <w:r>
        <w:rPr>
          <w:lang w:eastAsia="zh-CN"/>
        </w:rPr>
        <w:fldChar w:fldCharType="separate"/>
      </w:r>
      <w:r>
        <w:rPr>
          <w:lang w:eastAsia="zh-CN"/>
        </w:rPr>
        <w:t>50</w:t>
      </w:r>
      <w:r>
        <w:rPr>
          <w:lang w:eastAsia="zh-CN"/>
        </w:rPr>
        <w:fldChar w:fldCharType="end"/>
      </w:r>
      <w:r>
        <w:rPr>
          <w:lang w:eastAsia="zh-CN"/>
        </w:rPr>
        <w:fldChar w:fldCharType="end"/>
      </w:r>
    </w:p>
    <w:p>
      <w:pPr>
        <w:pStyle w:val="17"/>
        <w:tabs>
          <w:tab w:val="right" w:leader="hyphen" w:pos="8302"/>
        </w:tabs>
        <w:rPr>
          <w:lang w:eastAsia="zh-CN"/>
        </w:rPr>
      </w:pPr>
      <w:r>
        <w:fldChar w:fldCharType="begin"/>
      </w:r>
      <w:r>
        <w:instrText xml:space="preserve"> HYPERLINK \l "_Toc296541737" </w:instrText>
      </w:r>
      <w:r>
        <w:fldChar w:fldCharType="separate"/>
      </w:r>
      <w:r>
        <w:rPr>
          <w:rStyle w:val="21"/>
          <w:rFonts w:hint="eastAsia"/>
          <w:lang w:eastAsia="zh-CN"/>
        </w:rPr>
        <w:t>十九、托管协议的效力</w:t>
      </w:r>
      <w:r>
        <w:rPr>
          <w:lang w:eastAsia="zh-CN"/>
        </w:rPr>
        <w:tab/>
      </w:r>
      <w:r>
        <w:rPr>
          <w:lang w:eastAsia="zh-CN"/>
        </w:rPr>
        <w:fldChar w:fldCharType="begin"/>
      </w:r>
      <w:r>
        <w:rPr>
          <w:lang w:eastAsia="zh-CN"/>
        </w:rPr>
        <w:instrText xml:space="preserve"> PAGEREF _Toc296541737 \h </w:instrText>
      </w:r>
      <w:r>
        <w:rPr>
          <w:lang w:eastAsia="zh-CN"/>
        </w:rPr>
        <w:fldChar w:fldCharType="separate"/>
      </w:r>
      <w:r>
        <w:rPr>
          <w:lang w:eastAsia="zh-CN"/>
        </w:rPr>
        <w:t>50</w:t>
      </w:r>
      <w:r>
        <w:rPr>
          <w:lang w:eastAsia="zh-CN"/>
        </w:rPr>
        <w:fldChar w:fldCharType="end"/>
      </w:r>
      <w:r>
        <w:rPr>
          <w:lang w:eastAsia="zh-CN"/>
        </w:rPr>
        <w:fldChar w:fldCharType="end"/>
      </w:r>
    </w:p>
    <w:p>
      <w:pPr>
        <w:pStyle w:val="17"/>
        <w:tabs>
          <w:tab w:val="right" w:leader="hyphen" w:pos="8302"/>
        </w:tabs>
        <w:rPr>
          <w:lang w:eastAsia="zh-CN"/>
        </w:rPr>
      </w:pPr>
      <w:r>
        <w:fldChar w:fldCharType="begin"/>
      </w:r>
      <w:r>
        <w:instrText xml:space="preserve"> HYPERLINK \l "_Toc296541738" </w:instrText>
      </w:r>
      <w:r>
        <w:fldChar w:fldCharType="separate"/>
      </w:r>
      <w:r>
        <w:rPr>
          <w:rStyle w:val="21"/>
          <w:rFonts w:hint="eastAsia"/>
          <w:lang w:eastAsia="zh-CN"/>
        </w:rPr>
        <w:t>二十、其他事项</w:t>
      </w:r>
      <w:r>
        <w:rPr>
          <w:lang w:eastAsia="zh-CN"/>
        </w:rPr>
        <w:tab/>
      </w:r>
      <w:r>
        <w:rPr>
          <w:lang w:eastAsia="zh-CN"/>
        </w:rPr>
        <w:fldChar w:fldCharType="begin"/>
      </w:r>
      <w:r>
        <w:rPr>
          <w:lang w:eastAsia="zh-CN"/>
        </w:rPr>
        <w:instrText xml:space="preserve"> PAGEREF _Toc296541738 \h </w:instrText>
      </w:r>
      <w:r>
        <w:rPr>
          <w:lang w:eastAsia="zh-CN"/>
        </w:rPr>
        <w:fldChar w:fldCharType="separate"/>
      </w:r>
      <w:r>
        <w:rPr>
          <w:lang w:eastAsia="zh-CN"/>
        </w:rPr>
        <w:t>50</w:t>
      </w:r>
      <w:r>
        <w:rPr>
          <w:lang w:eastAsia="zh-CN"/>
        </w:rPr>
        <w:fldChar w:fldCharType="end"/>
      </w:r>
      <w:r>
        <w:rPr>
          <w:lang w:eastAsia="zh-CN"/>
        </w:rPr>
        <w:fldChar w:fldCharType="end"/>
      </w:r>
    </w:p>
    <w:p>
      <w:pPr>
        <w:pStyle w:val="17"/>
        <w:tabs>
          <w:tab w:val="right" w:leader="hyphen" w:pos="8302"/>
        </w:tabs>
        <w:rPr>
          <w:lang w:eastAsia="zh-CN"/>
        </w:rPr>
      </w:pPr>
      <w:r>
        <w:fldChar w:fldCharType="begin"/>
      </w:r>
      <w:r>
        <w:instrText xml:space="preserve"> HYPERLINK \l "_Toc296541739" </w:instrText>
      </w:r>
      <w:r>
        <w:fldChar w:fldCharType="separate"/>
      </w:r>
      <w:r>
        <w:rPr>
          <w:rStyle w:val="21"/>
          <w:rFonts w:hint="eastAsia"/>
          <w:lang w:eastAsia="zh-CN"/>
        </w:rPr>
        <w:t>二十一、托管协议的签订</w:t>
      </w:r>
      <w:r>
        <w:rPr>
          <w:lang w:eastAsia="zh-CN"/>
        </w:rPr>
        <w:tab/>
      </w:r>
      <w:r>
        <w:rPr>
          <w:lang w:eastAsia="zh-CN"/>
        </w:rPr>
        <w:fldChar w:fldCharType="begin"/>
      </w:r>
      <w:r>
        <w:rPr>
          <w:lang w:eastAsia="zh-CN"/>
        </w:rPr>
        <w:instrText xml:space="preserve"> PAGEREF _Toc296541739 \h </w:instrText>
      </w:r>
      <w:r>
        <w:rPr>
          <w:lang w:eastAsia="zh-CN"/>
        </w:rPr>
        <w:fldChar w:fldCharType="separate"/>
      </w:r>
      <w:r>
        <w:rPr>
          <w:lang w:eastAsia="zh-CN"/>
        </w:rPr>
        <w:t>51</w:t>
      </w:r>
      <w:r>
        <w:rPr>
          <w:lang w:eastAsia="zh-CN"/>
        </w:rPr>
        <w:fldChar w:fldCharType="end"/>
      </w:r>
      <w:r>
        <w:rPr>
          <w:lang w:eastAsia="zh-CN"/>
        </w:rPr>
        <w:fldChar w:fldCharType="end"/>
      </w:r>
    </w:p>
    <w:p>
      <w:pPr>
        <w:rPr>
          <w:lang w:eastAsia="zh-CN"/>
        </w:rPr>
      </w:pPr>
      <w:r>
        <w:rPr>
          <w:lang w:eastAsia="zh-CN"/>
        </w:rPr>
        <w:fldChar w:fldCharType="end"/>
      </w:r>
    </w:p>
    <w:p>
      <w:pPr>
        <w:rPr>
          <w:lang w:eastAsia="zh-CN"/>
        </w:rPr>
      </w:pPr>
    </w:p>
    <w:p>
      <w:pPr>
        <w:rPr>
          <w:lang w:eastAsia="zh-CN"/>
        </w:rPr>
      </w:pPr>
    </w:p>
    <w:p>
      <w:pPr>
        <w:ind w:firstLine="480"/>
        <w:rPr>
          <w:lang w:eastAsia="zh-CN"/>
        </w:rPr>
      </w:pPr>
    </w:p>
    <w:p>
      <w:pPr>
        <w:ind w:firstLine="480"/>
        <w:rPr>
          <w:lang w:eastAsia="zh-CN"/>
        </w:rPr>
      </w:pPr>
    </w:p>
    <w:p>
      <w:pPr>
        <w:ind w:firstLine="480"/>
        <w:rPr>
          <w:lang w:eastAsia="zh-CN"/>
        </w:rPr>
      </w:pPr>
    </w:p>
    <w:p>
      <w:pPr>
        <w:ind w:firstLine="480"/>
        <w:rPr>
          <w:lang w:eastAsia="zh-CN"/>
        </w:rPr>
      </w:pPr>
      <w:r>
        <w:rPr>
          <w:rFonts w:hint="eastAsia"/>
          <w:lang w:eastAsia="zh-CN"/>
        </w:rPr>
        <w:t>鉴于浦银安盛基金管理有限公司系一家依照中国法律合法成立并有效存续的有限责任公司，按照相关法律法规的规定具备担任基金管理人的资格和能力</w:t>
      </w:r>
      <w:r>
        <w:rPr>
          <w:lang w:eastAsia="zh-CN"/>
        </w:rPr>
        <w:t>,</w:t>
      </w:r>
      <w:r>
        <w:rPr>
          <w:rFonts w:hint="eastAsia"/>
          <w:lang w:eastAsia="zh-CN"/>
        </w:rPr>
        <w:t>拟募集发行浦银安盛养老目标日期</w:t>
      </w:r>
      <w:r>
        <w:rPr>
          <w:lang w:eastAsia="zh-CN"/>
        </w:rPr>
        <w:t>2040三年持有期混合型发起式基金中基金（FOF）</w:t>
      </w:r>
      <w:r>
        <w:rPr>
          <w:rFonts w:hint="eastAsia"/>
          <w:lang w:eastAsia="zh-CN"/>
        </w:rPr>
        <w:t>证券投资基金；</w:t>
      </w:r>
    </w:p>
    <w:p>
      <w:pPr>
        <w:ind w:firstLine="480"/>
        <w:rPr>
          <w:lang w:eastAsia="zh-CN"/>
        </w:rPr>
      </w:pPr>
      <w:r>
        <w:rPr>
          <w:rFonts w:hint="eastAsia"/>
          <w:lang w:eastAsia="zh-CN"/>
        </w:rPr>
        <w:t>鉴于中国邮政储蓄银行股份有限公司系一家依照中国法律合法成立并有效存续的银行，按照相关法律法规的规定具备担任基金托管人的资格和能力；</w:t>
      </w:r>
    </w:p>
    <w:p>
      <w:pPr>
        <w:ind w:firstLine="480"/>
        <w:rPr>
          <w:lang w:eastAsia="zh-CN"/>
        </w:rPr>
      </w:pPr>
      <w:r>
        <w:rPr>
          <w:rFonts w:hint="eastAsia"/>
          <w:lang w:eastAsia="zh-CN"/>
        </w:rPr>
        <w:t>鉴于浦银安盛基金管理有限公司拟担任浦银安盛养老目标日期</w:t>
      </w:r>
      <w:r>
        <w:rPr>
          <w:lang w:eastAsia="zh-CN"/>
        </w:rPr>
        <w:t>2040三年持有期混合型发起式基金中基金（FOF）</w:t>
      </w:r>
      <w:r>
        <w:rPr>
          <w:rFonts w:hint="eastAsia"/>
          <w:lang w:eastAsia="zh-CN"/>
        </w:rPr>
        <w:t>的基金管理人，中国邮政储蓄银行股份有限公司拟担任浦银安盛养老目标日期</w:t>
      </w:r>
      <w:r>
        <w:rPr>
          <w:lang w:eastAsia="zh-CN"/>
        </w:rPr>
        <w:t>2040三年持有期混合型发起式基金中基金（FOF）</w:t>
      </w:r>
      <w:r>
        <w:rPr>
          <w:rFonts w:hint="eastAsia"/>
          <w:lang w:eastAsia="zh-CN"/>
        </w:rPr>
        <w:t>的基金托管人；</w:t>
      </w:r>
    </w:p>
    <w:p>
      <w:pPr>
        <w:ind w:firstLine="480"/>
        <w:rPr>
          <w:lang w:eastAsia="zh-CN"/>
        </w:rPr>
      </w:pPr>
      <w:r>
        <w:rPr>
          <w:rFonts w:hint="eastAsia"/>
          <w:lang w:eastAsia="zh-CN"/>
        </w:rPr>
        <w:t>为明确</w:t>
      </w:r>
      <w:r>
        <w:rPr>
          <w:rFonts w:hint="eastAsia"/>
          <w:bCs/>
          <w:lang w:eastAsia="zh-CN"/>
        </w:rPr>
        <w:t>浦银安盛养老目标日期2040三年持有期混合型发起式基金中基金（FOF）</w:t>
      </w:r>
      <w:r>
        <w:rPr>
          <w:rFonts w:hint="eastAsia"/>
          <w:lang w:eastAsia="zh-CN"/>
        </w:rPr>
        <w:t>（以下简称“本基金”或“基金”）的基金管理人和基金托管人之间的权利义务关系，特制订本托管协议；</w:t>
      </w:r>
    </w:p>
    <w:p>
      <w:pPr>
        <w:ind w:firstLine="480"/>
        <w:rPr>
          <w:lang w:eastAsia="zh-CN"/>
        </w:rPr>
      </w:pPr>
      <w:r>
        <w:rPr>
          <w:rFonts w:hint="eastAsia"/>
          <w:lang w:eastAsia="zh-CN"/>
        </w:rPr>
        <w:t>除非另有约定，《浦银安盛养老目标日期</w:t>
      </w:r>
      <w:r>
        <w:rPr>
          <w:lang w:eastAsia="zh-CN"/>
        </w:rPr>
        <w:t>2040三年持有期混合型发起式基金中基金（FOF）</w:t>
      </w:r>
      <w:r>
        <w:rPr>
          <w:rFonts w:hint="eastAsia"/>
          <w:lang w:eastAsia="zh-CN"/>
        </w:rPr>
        <w:t>基金合同》（以下简称“基金合同”）中定义的术语在用于本托管协议时应具有相同的含义；若有抵触应以基金合同为准，并依其条款解释。</w:t>
      </w:r>
    </w:p>
    <w:p>
      <w:pPr>
        <w:ind w:firstLine="480"/>
        <w:rPr>
          <w:lang w:eastAsia="zh-CN"/>
        </w:rPr>
      </w:pPr>
    </w:p>
    <w:p>
      <w:pPr>
        <w:pStyle w:val="2"/>
        <w:rPr>
          <w:lang w:eastAsia="zh-CN"/>
        </w:rPr>
      </w:pPr>
      <w:bookmarkStart w:id="9" w:name="_Toc296541719"/>
      <w:r>
        <w:rPr>
          <w:rFonts w:hint="eastAsia"/>
          <w:lang w:eastAsia="zh-CN"/>
        </w:rPr>
        <w:t>一、基金托管协议当事人</w:t>
      </w:r>
      <w:bookmarkEnd w:id="9"/>
    </w:p>
    <w:p>
      <w:pPr>
        <w:ind w:firstLine="480"/>
        <w:rPr>
          <w:lang w:eastAsia="zh-CN"/>
        </w:rPr>
      </w:pPr>
      <w:r>
        <w:rPr>
          <w:rFonts w:hint="eastAsia"/>
          <w:lang w:eastAsia="zh-CN"/>
        </w:rPr>
        <w:t>（一）基金管理人</w:t>
      </w:r>
    </w:p>
    <w:p>
      <w:pPr>
        <w:ind w:firstLine="480"/>
        <w:rPr>
          <w:lang w:eastAsia="zh-CN"/>
        </w:rPr>
      </w:pPr>
      <w:r>
        <w:rPr>
          <w:rFonts w:hint="eastAsia"/>
          <w:lang w:eastAsia="zh-CN"/>
        </w:rPr>
        <w:t>名称：</w:t>
      </w:r>
      <w:r>
        <w:rPr>
          <w:rFonts w:hint="eastAsia"/>
          <w:szCs w:val="18"/>
          <w:lang w:eastAsia="zh-CN"/>
        </w:rPr>
        <w:t>浦银安盛基金管理有限公司</w:t>
      </w:r>
    </w:p>
    <w:p>
      <w:pPr>
        <w:ind w:firstLine="480"/>
        <w:rPr>
          <w:lang w:eastAsia="zh-CN"/>
        </w:rPr>
      </w:pPr>
      <w:r>
        <w:rPr>
          <w:rFonts w:hint="eastAsia"/>
          <w:lang w:eastAsia="zh-CN"/>
        </w:rPr>
        <w:t>住所：中国（上海）自由贸易试验区浦东大道</w:t>
      </w:r>
      <w:r>
        <w:rPr>
          <w:lang w:eastAsia="zh-CN"/>
        </w:rPr>
        <w:t>981号3幢316室</w:t>
      </w:r>
    </w:p>
    <w:p>
      <w:pPr>
        <w:ind w:firstLine="480"/>
        <w:rPr>
          <w:lang w:eastAsia="zh-CN"/>
        </w:rPr>
      </w:pPr>
      <w:r>
        <w:rPr>
          <w:rFonts w:hint="eastAsia"/>
          <w:lang w:eastAsia="zh-CN"/>
        </w:rPr>
        <w:t>办公地址：</w:t>
      </w:r>
      <w:r>
        <w:rPr>
          <w:rFonts w:hint="eastAsia"/>
          <w:szCs w:val="18"/>
          <w:lang w:eastAsia="zh-CN"/>
        </w:rPr>
        <w:t>上海市淮海中路381号中环广场38楼</w:t>
      </w:r>
    </w:p>
    <w:p>
      <w:pPr>
        <w:ind w:firstLine="480"/>
        <w:rPr>
          <w:lang w:eastAsia="zh-CN"/>
        </w:rPr>
      </w:pPr>
      <w:r>
        <w:rPr>
          <w:rFonts w:hint="eastAsia"/>
          <w:lang w:eastAsia="zh-CN"/>
        </w:rPr>
        <w:t>邮政编码：200020</w:t>
      </w:r>
    </w:p>
    <w:p>
      <w:pPr>
        <w:ind w:firstLine="480"/>
        <w:rPr>
          <w:lang w:eastAsia="zh-CN"/>
        </w:rPr>
      </w:pPr>
      <w:r>
        <w:rPr>
          <w:rFonts w:hint="eastAsia"/>
          <w:lang w:eastAsia="zh-CN"/>
        </w:rPr>
        <w:t>法定代表人：</w:t>
      </w:r>
      <w:r>
        <w:rPr>
          <w:rFonts w:hint="eastAsia"/>
          <w:bCs/>
          <w:lang w:eastAsia="zh-CN"/>
        </w:rPr>
        <w:t>谢伟</w:t>
      </w:r>
    </w:p>
    <w:p>
      <w:pPr>
        <w:ind w:firstLine="480"/>
        <w:rPr>
          <w:lang w:eastAsia="zh-CN"/>
        </w:rPr>
      </w:pPr>
      <w:r>
        <w:rPr>
          <w:rFonts w:hint="eastAsia"/>
          <w:lang w:eastAsia="zh-CN"/>
        </w:rPr>
        <w:t>成立时间：</w:t>
      </w:r>
      <w:r>
        <w:rPr>
          <w:bCs/>
          <w:lang w:eastAsia="zh-CN"/>
        </w:rPr>
        <w:t>2007年8月5日</w:t>
      </w:r>
    </w:p>
    <w:p>
      <w:pPr>
        <w:ind w:firstLine="480"/>
        <w:rPr>
          <w:lang w:eastAsia="zh-CN"/>
        </w:rPr>
      </w:pPr>
      <w:r>
        <w:rPr>
          <w:rFonts w:hint="eastAsia"/>
          <w:lang w:eastAsia="zh-CN"/>
        </w:rPr>
        <w:t>批准设立机关：中国证券监督管理委员会</w:t>
      </w:r>
    </w:p>
    <w:p>
      <w:pPr>
        <w:ind w:firstLine="480"/>
        <w:rPr>
          <w:lang w:eastAsia="zh-CN"/>
        </w:rPr>
      </w:pPr>
      <w:r>
        <w:rPr>
          <w:rFonts w:hint="eastAsia"/>
          <w:lang w:eastAsia="zh-CN"/>
        </w:rPr>
        <w:t>批准设立文号：</w:t>
      </w:r>
      <w:r>
        <w:rPr>
          <w:rFonts w:hint="eastAsia"/>
          <w:bCs/>
          <w:lang w:eastAsia="zh-CN"/>
        </w:rPr>
        <w:t>证监基金字</w:t>
      </w:r>
      <w:r>
        <w:rPr>
          <w:bCs/>
          <w:lang w:eastAsia="zh-CN"/>
        </w:rPr>
        <w:t>[2007]207号</w:t>
      </w:r>
    </w:p>
    <w:p>
      <w:pPr>
        <w:ind w:firstLine="480"/>
        <w:rPr>
          <w:lang w:eastAsia="zh-CN"/>
        </w:rPr>
      </w:pPr>
      <w:r>
        <w:rPr>
          <w:rFonts w:hint="eastAsia"/>
          <w:lang w:eastAsia="zh-CN"/>
        </w:rPr>
        <w:t>组织形式：有限责任公司</w:t>
      </w:r>
    </w:p>
    <w:p>
      <w:pPr>
        <w:ind w:firstLine="480"/>
        <w:rPr>
          <w:lang w:eastAsia="zh-CN"/>
        </w:rPr>
      </w:pPr>
      <w:r>
        <w:rPr>
          <w:rFonts w:hint="eastAsia"/>
          <w:lang w:eastAsia="zh-CN"/>
        </w:rPr>
        <w:t>注册资本：</w:t>
      </w:r>
      <w:r>
        <w:rPr>
          <w:bCs/>
          <w:lang w:eastAsia="zh-CN"/>
        </w:rPr>
        <w:t>191,000万元人民币</w:t>
      </w:r>
    </w:p>
    <w:p>
      <w:pPr>
        <w:ind w:firstLine="480"/>
        <w:rPr>
          <w:lang w:eastAsia="zh-CN"/>
        </w:rPr>
      </w:pPr>
      <w:r>
        <w:rPr>
          <w:rFonts w:hint="eastAsia"/>
          <w:lang w:eastAsia="zh-CN"/>
        </w:rPr>
        <w:t>存续期间：持续经营</w:t>
      </w:r>
    </w:p>
    <w:p>
      <w:pPr>
        <w:ind w:firstLine="480"/>
        <w:rPr>
          <w:lang w:eastAsia="zh-CN"/>
        </w:rPr>
      </w:pPr>
      <w:r>
        <w:rPr>
          <w:rFonts w:hint="eastAsia"/>
          <w:lang w:eastAsia="zh-CN"/>
        </w:rPr>
        <w:t>经营范围：基金募集、基金销售、资产管理，境外证券投资管理和中国证监会许可的其他业务。</w:t>
      </w:r>
    </w:p>
    <w:p>
      <w:pPr>
        <w:ind w:firstLine="480"/>
        <w:rPr>
          <w:lang w:eastAsia="zh-CN"/>
        </w:rPr>
      </w:pPr>
      <w:r>
        <w:rPr>
          <w:rFonts w:hint="eastAsia"/>
          <w:lang w:eastAsia="zh-CN"/>
        </w:rPr>
        <w:t>（二）基金托管人</w:t>
      </w:r>
    </w:p>
    <w:p>
      <w:pPr>
        <w:ind w:firstLine="480"/>
        <w:rPr>
          <w:lang w:eastAsia="zh-CN"/>
        </w:rPr>
      </w:pPr>
      <w:r>
        <w:rPr>
          <w:rFonts w:hint="eastAsia"/>
          <w:lang w:eastAsia="zh-CN"/>
        </w:rPr>
        <w:t>名称：中国邮政储蓄银行股份有限公司</w:t>
      </w:r>
    </w:p>
    <w:p>
      <w:pPr>
        <w:ind w:firstLine="480"/>
        <w:rPr>
          <w:lang w:eastAsia="zh-CN"/>
        </w:rPr>
      </w:pPr>
      <w:r>
        <w:rPr>
          <w:rFonts w:hint="eastAsia"/>
          <w:lang w:eastAsia="zh-CN"/>
        </w:rPr>
        <w:t>住所：北京市西城区金融大街</w:t>
      </w:r>
      <w:r>
        <w:rPr>
          <w:lang w:eastAsia="zh-CN"/>
        </w:rPr>
        <w:t>3</w:t>
      </w:r>
      <w:r>
        <w:rPr>
          <w:rFonts w:hint="eastAsia"/>
          <w:lang w:eastAsia="zh-CN"/>
        </w:rPr>
        <w:t>号</w:t>
      </w:r>
    </w:p>
    <w:p>
      <w:pPr>
        <w:ind w:firstLine="480"/>
        <w:rPr>
          <w:lang w:eastAsia="zh-CN"/>
        </w:rPr>
      </w:pPr>
      <w:r>
        <w:rPr>
          <w:rFonts w:hint="eastAsia"/>
          <w:lang w:eastAsia="zh-CN"/>
        </w:rPr>
        <w:t>办公地址：北京市西城区金融大街</w:t>
      </w:r>
      <w:r>
        <w:rPr>
          <w:lang w:eastAsia="zh-CN"/>
        </w:rPr>
        <w:t>3</w:t>
      </w:r>
      <w:r>
        <w:rPr>
          <w:rFonts w:hint="eastAsia"/>
          <w:lang w:eastAsia="zh-CN"/>
        </w:rPr>
        <w:t>号</w:t>
      </w:r>
      <w:r>
        <w:rPr>
          <w:lang w:eastAsia="zh-CN"/>
        </w:rPr>
        <w:t>A</w:t>
      </w:r>
      <w:r>
        <w:rPr>
          <w:rFonts w:hint="eastAsia"/>
          <w:lang w:eastAsia="zh-CN"/>
        </w:rPr>
        <w:t>座</w:t>
      </w:r>
    </w:p>
    <w:p>
      <w:pPr>
        <w:ind w:firstLine="480"/>
        <w:rPr>
          <w:lang w:eastAsia="zh-CN"/>
        </w:rPr>
      </w:pPr>
      <w:r>
        <w:rPr>
          <w:rFonts w:hint="eastAsia"/>
          <w:lang w:eastAsia="zh-CN"/>
        </w:rPr>
        <w:t>邮政编码：</w:t>
      </w:r>
      <w:r>
        <w:rPr>
          <w:lang w:eastAsia="zh-CN"/>
        </w:rPr>
        <w:t>100808</w:t>
      </w:r>
    </w:p>
    <w:p>
      <w:pPr>
        <w:ind w:firstLine="480"/>
        <w:rPr>
          <w:lang w:eastAsia="zh-CN"/>
        </w:rPr>
      </w:pPr>
      <w:r>
        <w:rPr>
          <w:rFonts w:hint="eastAsia"/>
          <w:lang w:eastAsia="zh-CN"/>
        </w:rPr>
        <w:t>法定代表人：张金良</w:t>
      </w:r>
    </w:p>
    <w:p>
      <w:pPr>
        <w:ind w:firstLine="480"/>
        <w:rPr>
          <w:lang w:eastAsia="zh-CN"/>
        </w:rPr>
      </w:pPr>
      <w:r>
        <w:rPr>
          <w:rFonts w:hint="eastAsia"/>
          <w:lang w:eastAsia="zh-CN"/>
        </w:rPr>
        <w:t>成立时间：</w:t>
      </w:r>
      <w:r>
        <w:rPr>
          <w:lang w:eastAsia="zh-CN"/>
        </w:rPr>
        <w:t>2007</w:t>
      </w:r>
      <w:r>
        <w:rPr>
          <w:rFonts w:hint="eastAsia"/>
          <w:lang w:eastAsia="zh-CN"/>
        </w:rPr>
        <w:t>年</w:t>
      </w:r>
      <w:r>
        <w:rPr>
          <w:lang w:eastAsia="zh-CN"/>
        </w:rPr>
        <w:t>3</w:t>
      </w:r>
      <w:r>
        <w:rPr>
          <w:rFonts w:hint="eastAsia"/>
          <w:lang w:eastAsia="zh-CN"/>
        </w:rPr>
        <w:t>月</w:t>
      </w:r>
      <w:r>
        <w:rPr>
          <w:lang w:eastAsia="zh-CN"/>
        </w:rPr>
        <w:t>6</w:t>
      </w:r>
      <w:r>
        <w:rPr>
          <w:rFonts w:hint="eastAsia"/>
          <w:lang w:eastAsia="zh-CN"/>
        </w:rPr>
        <w:t>日</w:t>
      </w:r>
    </w:p>
    <w:p>
      <w:pPr>
        <w:ind w:firstLine="480"/>
        <w:rPr>
          <w:lang w:eastAsia="zh-CN"/>
        </w:rPr>
      </w:pPr>
      <w:r>
        <w:rPr>
          <w:rFonts w:hint="eastAsia"/>
          <w:lang w:eastAsia="zh-CN"/>
        </w:rPr>
        <w:t>批准设立机关及批准设立文号：中国银监会银监复</w:t>
      </w:r>
      <w:r>
        <w:rPr>
          <w:lang w:eastAsia="zh-CN"/>
        </w:rPr>
        <w:t>[2006]484</w:t>
      </w:r>
      <w:r>
        <w:rPr>
          <w:rFonts w:hint="eastAsia"/>
          <w:lang w:eastAsia="zh-CN"/>
        </w:rPr>
        <w:t>号</w:t>
      </w:r>
    </w:p>
    <w:p>
      <w:pPr>
        <w:ind w:firstLine="480"/>
        <w:rPr>
          <w:lang w:eastAsia="zh-CN"/>
        </w:rPr>
      </w:pPr>
      <w:r>
        <w:rPr>
          <w:rFonts w:hint="eastAsia"/>
          <w:lang w:eastAsia="zh-CN"/>
        </w:rPr>
        <w:t>基金托管业务批准文号：证监许可</w:t>
      </w:r>
      <w:r>
        <w:rPr>
          <w:lang w:eastAsia="zh-CN"/>
        </w:rPr>
        <w:t>[2009]673</w:t>
      </w:r>
      <w:r>
        <w:rPr>
          <w:rFonts w:hint="eastAsia"/>
          <w:lang w:eastAsia="zh-CN"/>
        </w:rPr>
        <w:t>号</w:t>
      </w:r>
    </w:p>
    <w:p>
      <w:pPr>
        <w:ind w:firstLine="480"/>
        <w:rPr>
          <w:lang w:eastAsia="zh-CN"/>
        </w:rPr>
      </w:pPr>
      <w:r>
        <w:rPr>
          <w:rFonts w:hint="eastAsia"/>
          <w:lang w:eastAsia="zh-CN"/>
        </w:rPr>
        <w:t>组织形式：股份有限公司</w:t>
      </w:r>
    </w:p>
    <w:p>
      <w:pPr>
        <w:ind w:firstLine="480"/>
        <w:rPr>
          <w:lang w:eastAsia="zh-CN"/>
        </w:rPr>
      </w:pPr>
      <w:r>
        <w:rPr>
          <w:rFonts w:hint="eastAsia"/>
          <w:lang w:eastAsia="zh-CN"/>
        </w:rPr>
        <w:t>注册资本：8103057.4万元人民币</w:t>
      </w:r>
    </w:p>
    <w:p>
      <w:pPr>
        <w:ind w:firstLine="480"/>
        <w:rPr>
          <w:lang w:eastAsia="zh-CN"/>
        </w:rPr>
      </w:pPr>
      <w:r>
        <w:rPr>
          <w:rFonts w:hint="eastAsia"/>
          <w:lang w:eastAsia="zh-CN"/>
        </w:rPr>
        <w:t>存续期间：持续经营</w:t>
      </w:r>
    </w:p>
    <w:p>
      <w:pPr>
        <w:ind w:firstLine="480"/>
        <w:rPr>
          <w:lang w:eastAsia="zh-CN"/>
        </w:rPr>
      </w:pPr>
      <w:r>
        <w:rPr>
          <w:rFonts w:hint="eastAsia"/>
          <w:lang w:eastAsia="zh-CN"/>
        </w:rPr>
        <w:t>经营范围：吸收公众存款；发放短期、中期、长期贷款；办理国内外结算；办理票据承兑和贴现；发行金融债劵；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pPr>
        <w:pStyle w:val="2"/>
        <w:rPr>
          <w:lang w:eastAsia="zh-CN"/>
        </w:rPr>
      </w:pPr>
      <w:bookmarkStart w:id="10" w:name="_Toc296541720"/>
      <w:r>
        <w:rPr>
          <w:rFonts w:hint="eastAsia"/>
          <w:lang w:eastAsia="zh-CN"/>
        </w:rPr>
        <w:t>二、基金托管协议的依据、目的和原则</w:t>
      </w:r>
      <w:bookmarkEnd w:id="10"/>
    </w:p>
    <w:p>
      <w:pPr>
        <w:ind w:firstLine="480"/>
        <w:rPr>
          <w:lang w:eastAsia="zh-CN"/>
        </w:rPr>
      </w:pPr>
      <w:r>
        <w:rPr>
          <w:rFonts w:hint="eastAsia"/>
          <w:lang w:eastAsia="zh-CN"/>
        </w:rPr>
        <w:t>（一）订立托管协议的依据</w:t>
      </w:r>
    </w:p>
    <w:p>
      <w:pPr>
        <w:ind w:firstLine="480"/>
        <w:rPr>
          <w:lang w:eastAsia="zh-CN"/>
        </w:rPr>
      </w:pPr>
      <w:r>
        <w:rPr>
          <w:rFonts w:hint="eastAsia"/>
          <w:lang w:eastAsia="zh-CN"/>
        </w:rPr>
        <w:t>《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公开募集证券投资基金运作指引第2号——基金中基金指引》、《养老目标证券投资基金指引（试行）》、《浦银安盛养老目标日期</w:t>
      </w:r>
      <w:r>
        <w:rPr>
          <w:lang w:eastAsia="zh-CN"/>
        </w:rPr>
        <w:t>2040三年持有期混合型发起式基金中基金（FOF）</w:t>
      </w:r>
      <w:r>
        <w:rPr>
          <w:rFonts w:hint="eastAsia"/>
          <w:lang w:eastAsia="zh-CN"/>
        </w:rPr>
        <w:t>基金合同》（以下简称“基金合同”）及其他有关规定订立本托管协议。</w:t>
      </w:r>
    </w:p>
    <w:p>
      <w:pPr>
        <w:ind w:firstLine="480"/>
        <w:rPr>
          <w:lang w:eastAsia="zh-CN"/>
        </w:rPr>
      </w:pPr>
      <w:r>
        <w:rPr>
          <w:rFonts w:hint="eastAsia"/>
          <w:lang w:eastAsia="zh-CN"/>
        </w:rPr>
        <w:t>（二）订立托管协议的目的</w:t>
      </w:r>
    </w:p>
    <w:p>
      <w:pPr>
        <w:ind w:firstLine="480"/>
        <w:rPr>
          <w:lang w:eastAsia="zh-CN"/>
        </w:rPr>
      </w:pPr>
      <w:r>
        <w:rPr>
          <w:rFonts w:hint="eastAsia"/>
          <w:lang w:eastAsia="zh-CN"/>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pPr>
        <w:ind w:firstLine="480"/>
        <w:rPr>
          <w:lang w:eastAsia="zh-CN"/>
        </w:rPr>
      </w:pPr>
      <w:r>
        <w:rPr>
          <w:rFonts w:hint="eastAsia"/>
          <w:lang w:eastAsia="zh-CN"/>
        </w:rPr>
        <w:t>（三）订立托管协议的原则</w:t>
      </w:r>
    </w:p>
    <w:p>
      <w:pPr>
        <w:ind w:firstLine="480"/>
        <w:rPr>
          <w:lang w:eastAsia="zh-CN"/>
        </w:rPr>
      </w:pPr>
      <w:r>
        <w:rPr>
          <w:rFonts w:hint="eastAsia"/>
          <w:lang w:eastAsia="zh-CN"/>
        </w:rPr>
        <w:t>基金管理人和基金托管人本着平等自愿、诚实信用、充分保护基金份额持有人合法权益的原则，经协商一致，签订本协议。</w:t>
      </w:r>
    </w:p>
    <w:p>
      <w:pPr>
        <w:ind w:firstLine="480"/>
        <w:rPr>
          <w:lang w:eastAsia="zh-CN"/>
        </w:rPr>
      </w:pPr>
      <w:r>
        <w:rPr>
          <w:rFonts w:hint="eastAsia"/>
          <w:lang w:eastAsia="zh-CN"/>
        </w:rPr>
        <w:t>（四）解释</w:t>
      </w:r>
    </w:p>
    <w:p>
      <w:pPr>
        <w:ind w:firstLine="480"/>
        <w:rPr>
          <w:lang w:eastAsia="zh-CN"/>
        </w:rPr>
      </w:pPr>
      <w:r>
        <w:rPr>
          <w:rFonts w:hint="eastAsia"/>
          <w:lang w:eastAsia="zh-CN"/>
        </w:rPr>
        <w:t>除非本协议另有约定，本协议的所有术语与基金合同的“释义”部分的相应术语具有相同含义；</w:t>
      </w:r>
      <w:r>
        <w:rPr>
          <w:lang w:eastAsia="zh-CN"/>
        </w:rPr>
        <w:t>若有抵触应以基金合同为准，并依其条款解释</w:t>
      </w:r>
      <w:r>
        <w:rPr>
          <w:rFonts w:hint="eastAsia"/>
          <w:lang w:eastAsia="zh-CN"/>
        </w:rPr>
        <w:t>。</w:t>
      </w:r>
    </w:p>
    <w:p>
      <w:pPr>
        <w:ind w:firstLine="480"/>
        <w:rPr>
          <w:lang w:eastAsia="zh-CN"/>
        </w:rPr>
      </w:pPr>
    </w:p>
    <w:p>
      <w:pPr>
        <w:pStyle w:val="2"/>
        <w:rPr>
          <w:lang w:eastAsia="zh-CN"/>
        </w:rPr>
      </w:pPr>
      <w:bookmarkStart w:id="11" w:name="_Toc296541721"/>
      <w:r>
        <w:rPr>
          <w:rFonts w:hint="eastAsia"/>
          <w:lang w:eastAsia="zh-CN"/>
        </w:rPr>
        <w:t>三、基金托管人对基金管理人的业务监督和核查</w:t>
      </w:r>
      <w:bookmarkEnd w:id="11"/>
    </w:p>
    <w:p>
      <w:pPr>
        <w:ind w:firstLine="480"/>
        <w:rPr>
          <w:rFonts w:cs="Arial"/>
          <w:szCs w:val="21"/>
          <w:lang w:eastAsia="zh-CN"/>
        </w:rPr>
      </w:pPr>
      <w:r>
        <w:rPr>
          <w:rFonts w:hint="eastAsia"/>
          <w:lang w:eastAsia="zh-CN"/>
        </w:rPr>
        <w:t>（一）基金托管人根据有关法律法规的规定及基金合同的约定，对基金投资范围、投资比例、投资限制等进行监督。</w:t>
      </w:r>
    </w:p>
    <w:p>
      <w:pPr>
        <w:ind w:firstLine="480"/>
        <w:rPr>
          <w:lang w:eastAsia="zh-CN"/>
        </w:rPr>
      </w:pPr>
      <w:r>
        <w:rPr>
          <w:lang w:eastAsia="zh-CN"/>
        </w:rPr>
        <w:t>1、到达目标日期前</w:t>
      </w:r>
      <w:r>
        <w:rPr>
          <w:rFonts w:hint="eastAsia"/>
          <w:lang w:eastAsia="zh-CN"/>
        </w:rPr>
        <w:t>的</w:t>
      </w:r>
      <w:r>
        <w:rPr>
          <w:lang w:eastAsia="zh-CN"/>
        </w:rPr>
        <w:t>投资范围</w:t>
      </w:r>
      <w:r>
        <w:rPr>
          <w:rFonts w:hint="eastAsia"/>
          <w:lang w:eastAsia="zh-CN"/>
        </w:rPr>
        <w:t>、</w:t>
      </w:r>
      <w:r>
        <w:rPr>
          <w:lang w:eastAsia="zh-CN"/>
        </w:rPr>
        <w:t>投资比例</w:t>
      </w:r>
      <w:r>
        <w:rPr>
          <w:rFonts w:hint="eastAsia"/>
          <w:lang w:eastAsia="zh-CN"/>
        </w:rPr>
        <w:t>及</w:t>
      </w:r>
      <w:r>
        <w:rPr>
          <w:lang w:eastAsia="zh-CN"/>
        </w:rPr>
        <w:t>投资限制</w:t>
      </w:r>
    </w:p>
    <w:p>
      <w:pPr>
        <w:ind w:firstLine="480"/>
        <w:rPr>
          <w:lang w:eastAsia="zh-CN"/>
        </w:rPr>
      </w:pPr>
      <w:r>
        <w:rPr>
          <w:rFonts w:hint="eastAsia"/>
          <w:lang w:eastAsia="zh-CN"/>
        </w:rPr>
        <w:t>本基金的投资范围为具有良好流动性的金融工具，包括经中国证监会依法核准或注册的公开募集证券投资基金（包含</w:t>
      </w:r>
      <w:r>
        <w:rPr>
          <w:lang w:eastAsia="zh-CN"/>
        </w:rPr>
        <w:t>ETF、LOF、QDII基金和香港互认基金）的基金份额、国内依法发行上市的股票（包括中小板、创业板及其他经中国证监会核准上市的股票）、债券（包括国债、央行票据、金融债券、企业债券、公司债券、中期票据、短期融资券、超短期融资券、次级债券、政府支持机构债、政府支持债券、地方政府债、可转换债券（含分离交易可转债）、可交换债券等）、资产支持证券、债券回购、银行存款（包括协议存款、定期存款及其他银行存款）</w:t>
      </w:r>
      <w:r>
        <w:rPr>
          <w:rFonts w:hint="eastAsia"/>
          <w:lang w:eastAsia="zh-CN"/>
        </w:rPr>
        <w:t>、</w:t>
      </w:r>
      <w:r>
        <w:rPr>
          <w:lang w:eastAsia="zh-CN"/>
        </w:rPr>
        <w:t>同业存单、货</w:t>
      </w:r>
      <w:r>
        <w:rPr>
          <w:rFonts w:hint="eastAsia"/>
          <w:lang w:eastAsia="zh-CN"/>
        </w:rPr>
        <w:t>币市场工具以及法律法规或中国证监会允许基金投资的其他金融工具（但须符合中国证监会相关规定）。</w:t>
      </w:r>
    </w:p>
    <w:p>
      <w:pPr>
        <w:ind w:firstLine="480"/>
        <w:rPr>
          <w:lang w:eastAsia="zh-CN"/>
        </w:rPr>
      </w:pPr>
      <w:r>
        <w:rPr>
          <w:rFonts w:hint="eastAsia"/>
          <w:lang w:eastAsia="zh-CN"/>
        </w:rPr>
        <w:t>如法律法规或监管机构以后允许基金投资其他品种，基金管理人在履行适当程序后，可以将其纳入投资范围。</w:t>
      </w:r>
    </w:p>
    <w:p>
      <w:pPr>
        <w:ind w:firstLine="480"/>
        <w:rPr>
          <w:lang w:eastAsia="zh-CN"/>
        </w:rPr>
      </w:pPr>
      <w:r>
        <w:rPr>
          <w:rFonts w:hint="eastAsia"/>
          <w:lang w:eastAsia="zh-CN"/>
        </w:rPr>
        <w:t>基金的投资组合比例为：本基金投资于经中国证监会依法核准或注册的公开募集证券投资基金的基金份额的资产不低于基金资产的</w:t>
      </w:r>
      <w:r>
        <w:rPr>
          <w:lang w:eastAsia="zh-CN"/>
        </w:rPr>
        <w:t>80%，投资于股票、股票型基金、混合型基金和商品基金（含商品期货基金和黄金ETF）等品种的比例合计原则上不超过60%；现金或到期日在一年内的政府债券不低于基金资产净值的5%，其中现金不包括结算备付金、存出保证金、应收申购款等。</w:t>
      </w:r>
    </w:p>
    <w:p>
      <w:pPr>
        <w:ind w:firstLine="480"/>
        <w:rPr>
          <w:lang w:eastAsia="zh-CN"/>
        </w:rPr>
      </w:pPr>
      <w:r>
        <w:rPr>
          <w:rFonts w:hint="eastAsia"/>
          <w:lang w:eastAsia="zh-CN"/>
        </w:rPr>
        <w:t>根据浦银安盛养老目标日期基金下滑曲线模型，随着目标日期的临近，权益类资产投资比例逐渐下降，非权益类资产投资比例逐步上升。此处权益类资产包含股票、股票型基金、商品基金（含商品期货基金和黄金</w:t>
      </w:r>
      <w:r>
        <w:rPr>
          <w:lang w:eastAsia="zh-CN"/>
        </w:rPr>
        <w:t>ETF）及符合以下两种情况之一的混合型基金：一是基金合同约定股票资产投资比例不低于基金资产的50%，二是最近4个季度末，每季度定期报告披露的股票资产占基金资产的比例不低于50%。</w:t>
      </w:r>
    </w:p>
    <w:p>
      <w:pPr>
        <w:ind w:firstLine="480" w:firstLineChars="200"/>
        <w:rPr>
          <w:lang w:eastAsia="zh-CN"/>
        </w:rPr>
      </w:pPr>
      <w:r>
        <w:rPr>
          <w:rFonts w:hint="eastAsia"/>
          <w:lang w:eastAsia="zh-CN"/>
        </w:rPr>
        <w:t>如法律法规或中国证监会变更投资品种的投资比例限制，基金管理人在履行适当程序后，可以调整上述投资品种的投资比例。</w:t>
      </w:r>
    </w:p>
    <w:p>
      <w:pPr>
        <w:ind w:firstLine="480" w:firstLineChars="200"/>
        <w:rPr>
          <w:lang w:eastAsia="zh-CN"/>
        </w:rPr>
      </w:pPr>
      <w:r>
        <w:rPr>
          <w:rFonts w:hint="eastAsia"/>
          <w:lang w:eastAsia="zh-CN"/>
        </w:rPr>
        <w:t>基金的投资组合应遵循以下限制：</w:t>
      </w:r>
    </w:p>
    <w:p>
      <w:pPr>
        <w:ind w:firstLine="480" w:firstLineChars="200"/>
        <w:rPr>
          <w:lang w:eastAsia="zh-CN"/>
        </w:rPr>
      </w:pPr>
      <w:r>
        <w:rPr>
          <w:rFonts w:hint="eastAsia"/>
          <w:lang w:eastAsia="zh-CN"/>
        </w:rPr>
        <w:t>（</w:t>
      </w:r>
      <w:r>
        <w:rPr>
          <w:lang w:eastAsia="zh-CN"/>
        </w:rPr>
        <w:t>1）本基金投资于经中国证监会依法核准或注册的公开募集证券投资基金的基金份额的资产不低于基金资产的80%；</w:t>
      </w:r>
    </w:p>
    <w:p>
      <w:pPr>
        <w:ind w:firstLine="480" w:firstLineChars="200"/>
        <w:rPr>
          <w:lang w:eastAsia="zh-CN"/>
        </w:rPr>
      </w:pPr>
      <w:r>
        <w:rPr>
          <w:rFonts w:hint="eastAsia"/>
          <w:lang w:eastAsia="zh-CN"/>
        </w:rPr>
        <w:t>（</w:t>
      </w:r>
      <w:r>
        <w:rPr>
          <w:lang w:eastAsia="zh-CN"/>
        </w:rPr>
        <w:t>2）本基金投资于股票、股票型基金</w:t>
      </w:r>
      <w:r>
        <w:rPr>
          <w:rFonts w:hint="eastAsia"/>
          <w:lang w:eastAsia="zh-CN"/>
        </w:rPr>
        <w:t>、</w:t>
      </w:r>
      <w:r>
        <w:rPr>
          <w:lang w:eastAsia="zh-CN"/>
        </w:rPr>
        <w:t>混合型基金和商品基金（含商品期货基金和黄金ETF）等品种的比例合计</w:t>
      </w:r>
      <w:r>
        <w:rPr>
          <w:rFonts w:hint="eastAsia"/>
          <w:lang w:eastAsia="zh-CN"/>
        </w:rPr>
        <w:t>原则</w:t>
      </w:r>
      <w:r>
        <w:rPr>
          <w:lang w:eastAsia="zh-CN"/>
        </w:rPr>
        <w:t>上不超过60%；</w:t>
      </w:r>
    </w:p>
    <w:p>
      <w:pPr>
        <w:ind w:firstLine="480" w:firstLineChars="200"/>
        <w:rPr>
          <w:lang w:eastAsia="zh-CN"/>
        </w:rPr>
      </w:pPr>
      <w:r>
        <w:rPr>
          <w:rFonts w:hint="eastAsia"/>
          <w:lang w:eastAsia="zh-CN"/>
        </w:rPr>
        <w:t>（</w:t>
      </w:r>
      <w:r>
        <w:rPr>
          <w:lang w:eastAsia="zh-CN"/>
        </w:rPr>
        <w:t>3）本基金投资商品基金占基金资产的比例不超过10%；</w:t>
      </w:r>
    </w:p>
    <w:p>
      <w:pPr>
        <w:ind w:firstLine="480" w:firstLineChars="200"/>
        <w:rPr>
          <w:lang w:eastAsia="zh-CN"/>
        </w:rPr>
      </w:pPr>
      <w:r>
        <w:rPr>
          <w:rFonts w:hint="eastAsia"/>
          <w:lang w:eastAsia="zh-CN"/>
        </w:rPr>
        <w:t>（</w:t>
      </w:r>
      <w:r>
        <w:rPr>
          <w:lang w:eastAsia="zh-CN"/>
        </w:rPr>
        <w:t>4）本基金投资货币市场基金占基金资产的比例不超过15%；</w:t>
      </w:r>
    </w:p>
    <w:p>
      <w:pPr>
        <w:ind w:firstLine="480" w:firstLineChars="200"/>
        <w:rPr>
          <w:lang w:eastAsia="zh-CN"/>
        </w:rPr>
      </w:pPr>
      <w:r>
        <w:rPr>
          <w:rFonts w:hint="eastAsia"/>
          <w:lang w:eastAsia="zh-CN"/>
        </w:rPr>
        <w:t>（</w:t>
      </w:r>
      <w:r>
        <w:rPr>
          <w:lang w:eastAsia="zh-CN"/>
        </w:rPr>
        <w:t>5）保持不低于基金资产净值5%的现金或者到期日在一年以内的政府债券，其中现金不包括结算备付金、存出保证金、应收申购款等；</w:t>
      </w:r>
    </w:p>
    <w:p>
      <w:pPr>
        <w:ind w:firstLine="480" w:firstLineChars="200"/>
        <w:rPr>
          <w:lang w:eastAsia="zh-CN"/>
        </w:rPr>
      </w:pPr>
      <w:r>
        <w:rPr>
          <w:rFonts w:hint="eastAsia"/>
          <w:lang w:eastAsia="zh-CN"/>
        </w:rPr>
        <w:t>（</w:t>
      </w:r>
      <w:r>
        <w:rPr>
          <w:lang w:eastAsia="zh-CN"/>
        </w:rPr>
        <w:t>6）本基金持有单只基金的市值，不高于基金资产净值的20%，且不得持有其他基金中基金；</w:t>
      </w:r>
    </w:p>
    <w:p>
      <w:pPr>
        <w:ind w:firstLine="480" w:firstLineChars="200"/>
        <w:rPr>
          <w:lang w:eastAsia="zh-CN"/>
        </w:rPr>
      </w:pPr>
      <w:r>
        <w:rPr>
          <w:rFonts w:hint="eastAsia"/>
          <w:lang w:eastAsia="zh-CN"/>
        </w:rPr>
        <w:t>（</w:t>
      </w:r>
      <w:r>
        <w:rPr>
          <w:lang w:eastAsia="zh-CN"/>
        </w:rPr>
        <w:t>7）本基金管理人管理的全部基金中基金（ETF联接基金除外），持有单只基金不得超过被投资基金净资产的20%，被投资基金净资产规模以最近定期报告披露的规模为准；</w:t>
      </w:r>
    </w:p>
    <w:p>
      <w:pPr>
        <w:ind w:firstLine="480" w:firstLineChars="200"/>
        <w:rPr>
          <w:lang w:eastAsia="zh-CN"/>
        </w:rPr>
      </w:pPr>
      <w:r>
        <w:rPr>
          <w:rFonts w:hint="eastAsia"/>
          <w:lang w:eastAsia="zh-CN"/>
        </w:rPr>
        <w:t>（</w:t>
      </w:r>
      <w:r>
        <w:rPr>
          <w:lang w:eastAsia="zh-CN"/>
        </w:rPr>
        <w:t>8）本基金不得持有具有复杂、衍生品性质的基金份额，中国证监会认可或批准的特殊基金中基金除外；</w:t>
      </w:r>
    </w:p>
    <w:p>
      <w:pPr>
        <w:ind w:firstLine="480" w:firstLineChars="200"/>
        <w:rPr>
          <w:lang w:eastAsia="zh-CN"/>
        </w:rPr>
      </w:pPr>
      <w:r>
        <w:rPr>
          <w:rFonts w:hint="eastAsia"/>
          <w:lang w:eastAsia="zh-CN"/>
        </w:rPr>
        <w:t>（</w:t>
      </w:r>
      <w:r>
        <w:rPr>
          <w:lang w:eastAsia="zh-CN"/>
        </w:rPr>
        <w:t>9）本基金投资其他基金，被投资基金（不含指数基金、ETF和商品基金）的运作期限应当不少于2年、最近2年平均季末基金净资产应当不低于2亿元；被投资基金为指数基金、ETF和商品基金等品种的，运作期限应当不少于1年，最近定期报告披露的季末基金净资产应当不低于1亿元；被投资基金运作合规，风格清晰，中长期收益良好，业绩波动性较低；被投资基金的基金管理人及被投资基金的基金经理最近2年没有重大违法违规行为；</w:t>
      </w:r>
    </w:p>
    <w:p>
      <w:pPr>
        <w:ind w:firstLine="480" w:firstLineChars="200"/>
        <w:rPr>
          <w:lang w:eastAsia="zh-CN"/>
        </w:rPr>
      </w:pPr>
      <w:r>
        <w:rPr>
          <w:rFonts w:hint="eastAsia"/>
          <w:lang w:eastAsia="zh-CN"/>
        </w:rPr>
        <w:t>（</w:t>
      </w:r>
      <w:r>
        <w:rPr>
          <w:lang w:eastAsia="zh-CN"/>
        </w:rPr>
        <w:t>10）本基金投资于封闭运作基金、定期开放基金等流通受限基金的公允价值不超过基金资产净值的10%；</w:t>
      </w:r>
    </w:p>
    <w:p>
      <w:pPr>
        <w:ind w:firstLine="480" w:firstLineChars="200"/>
        <w:rPr>
          <w:lang w:eastAsia="zh-CN"/>
        </w:rPr>
      </w:pPr>
      <w:r>
        <w:rPr>
          <w:rFonts w:hint="eastAsia"/>
          <w:lang w:eastAsia="zh-CN"/>
        </w:rPr>
        <w:t>（</w:t>
      </w:r>
      <w:r>
        <w:rPr>
          <w:lang w:eastAsia="zh-CN"/>
        </w:rPr>
        <w:t>11）基金管理人运用本基金财产投资于股票、债券等金融工具的，投资品种和比例应当符合本基金的投资目标和投资策略；</w:t>
      </w:r>
    </w:p>
    <w:p>
      <w:pPr>
        <w:ind w:firstLine="480" w:firstLineChars="200"/>
        <w:rPr>
          <w:lang w:eastAsia="zh-CN"/>
        </w:rPr>
      </w:pPr>
      <w:r>
        <w:rPr>
          <w:rFonts w:hint="eastAsia"/>
          <w:lang w:eastAsia="zh-CN"/>
        </w:rPr>
        <w:t>（</w:t>
      </w:r>
      <w:r>
        <w:rPr>
          <w:lang w:eastAsia="zh-CN"/>
        </w:rPr>
        <w:t>12）本基金持有一家公司发行的证券（不含本基金所投资的基金份额），其市值不超过基金资产净值的10%；</w:t>
      </w:r>
    </w:p>
    <w:p>
      <w:pPr>
        <w:ind w:firstLine="480" w:firstLineChars="200"/>
        <w:rPr>
          <w:lang w:eastAsia="zh-CN"/>
        </w:rPr>
      </w:pPr>
      <w:r>
        <w:rPr>
          <w:rFonts w:hint="eastAsia"/>
          <w:lang w:eastAsia="zh-CN"/>
        </w:rPr>
        <w:t>（</w:t>
      </w:r>
      <w:r>
        <w:rPr>
          <w:lang w:eastAsia="zh-CN"/>
        </w:rPr>
        <w:t>13）本基金管理人管理的全部基金持有一家公司发行的证券（不含本基金所投资的基金份额），不超过该证券的10%；</w:t>
      </w:r>
    </w:p>
    <w:p>
      <w:pPr>
        <w:ind w:firstLine="480" w:firstLineChars="200"/>
        <w:rPr>
          <w:lang w:eastAsia="zh-CN"/>
        </w:rPr>
      </w:pPr>
      <w:r>
        <w:rPr>
          <w:rFonts w:hint="eastAsia"/>
          <w:lang w:eastAsia="zh-CN"/>
        </w:rPr>
        <w:t>（</w:t>
      </w:r>
      <w:r>
        <w:rPr>
          <w:lang w:eastAsia="zh-CN"/>
        </w:rPr>
        <w:t>14）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pPr>
        <w:ind w:firstLine="480" w:firstLineChars="200"/>
        <w:rPr>
          <w:lang w:eastAsia="zh-CN"/>
        </w:rPr>
      </w:pPr>
      <w:r>
        <w:rPr>
          <w:rFonts w:hint="eastAsia"/>
          <w:lang w:eastAsia="zh-CN"/>
        </w:rPr>
        <w:t>（</w:t>
      </w:r>
      <w:r>
        <w:rPr>
          <w:lang w:eastAsia="zh-CN"/>
        </w:rPr>
        <w:t>15）本基金主动投资于流动性受限资产的市值合计不得超过基金资产净值的15%；因证券市场波动、上市公司股票停牌、基金规模变动等基金管理人之外的因素致使基金不符合本款所规定比例限制的，本基金管理人不得主动新增流动性受限资产的投资；</w:t>
      </w:r>
    </w:p>
    <w:p>
      <w:pPr>
        <w:ind w:firstLine="480" w:firstLineChars="200"/>
        <w:rPr>
          <w:lang w:eastAsia="zh-CN"/>
        </w:rPr>
      </w:pPr>
      <w:r>
        <w:rPr>
          <w:rFonts w:hint="eastAsia"/>
          <w:lang w:eastAsia="zh-CN"/>
        </w:rPr>
        <w:t>（</w:t>
      </w:r>
      <w:r>
        <w:rPr>
          <w:lang w:eastAsia="zh-CN"/>
        </w:rPr>
        <w:t>16）本基金投资于同一原始权益人的各类资产支持证券的比例，不得超过基金资产净值的10%；</w:t>
      </w:r>
    </w:p>
    <w:p>
      <w:pPr>
        <w:ind w:firstLine="480" w:firstLineChars="200"/>
        <w:rPr>
          <w:lang w:eastAsia="zh-CN"/>
        </w:rPr>
      </w:pPr>
      <w:r>
        <w:rPr>
          <w:rFonts w:hint="eastAsia"/>
          <w:lang w:eastAsia="zh-CN"/>
        </w:rPr>
        <w:t>（</w:t>
      </w:r>
      <w:r>
        <w:rPr>
          <w:lang w:eastAsia="zh-CN"/>
        </w:rPr>
        <w:t>17）本基金持有的全部资产支持证券，其市值不得超过基金资产净值的20%；</w:t>
      </w:r>
    </w:p>
    <w:p>
      <w:pPr>
        <w:ind w:firstLine="480" w:firstLineChars="200"/>
        <w:rPr>
          <w:lang w:eastAsia="zh-CN"/>
        </w:rPr>
      </w:pPr>
      <w:r>
        <w:rPr>
          <w:rFonts w:hint="eastAsia"/>
          <w:lang w:eastAsia="zh-CN"/>
        </w:rPr>
        <w:t>（</w:t>
      </w:r>
      <w:r>
        <w:rPr>
          <w:lang w:eastAsia="zh-CN"/>
        </w:rPr>
        <w:t>18）本基金持有的同一（指同一信用级别）资产支持证券的比例，不得超过该资产支持证券规模的10%；</w:t>
      </w:r>
    </w:p>
    <w:p>
      <w:pPr>
        <w:ind w:firstLine="480" w:firstLineChars="200"/>
        <w:rPr>
          <w:lang w:eastAsia="zh-CN"/>
        </w:rPr>
      </w:pPr>
      <w:r>
        <w:rPr>
          <w:rFonts w:hint="eastAsia"/>
          <w:lang w:eastAsia="zh-CN"/>
        </w:rPr>
        <w:t>（</w:t>
      </w:r>
      <w:r>
        <w:rPr>
          <w:lang w:eastAsia="zh-CN"/>
        </w:rPr>
        <w:t>19）本基金管理人管理的全部基金投资于同一原始权益人的各类资产支持证券，不得超过其各类资产支持证券合计规模的10%；</w:t>
      </w:r>
    </w:p>
    <w:p>
      <w:pPr>
        <w:ind w:firstLine="480" w:firstLineChars="200"/>
        <w:rPr>
          <w:lang w:eastAsia="zh-CN"/>
        </w:rPr>
      </w:pPr>
      <w:r>
        <w:rPr>
          <w:rFonts w:hint="eastAsia"/>
          <w:lang w:eastAsia="zh-CN"/>
        </w:rPr>
        <w:t>（</w:t>
      </w:r>
      <w:r>
        <w:rPr>
          <w:lang w:eastAsia="zh-CN"/>
        </w:rPr>
        <w:t>20）本基金应投资于信用级别评级为BBB以上（含BBB）的资产支持证券。基金持有资产支持证券期间，如果其信用等级下降、不再符合投资标准，应在评级报告发布之日起3个月内予以全部卖出；</w:t>
      </w:r>
    </w:p>
    <w:p>
      <w:pPr>
        <w:ind w:firstLine="480" w:firstLineChars="200"/>
        <w:rPr>
          <w:lang w:eastAsia="zh-CN"/>
        </w:rPr>
      </w:pPr>
      <w:r>
        <w:rPr>
          <w:rFonts w:hint="eastAsia"/>
          <w:lang w:eastAsia="zh-CN"/>
        </w:rPr>
        <w:t>（</w:t>
      </w:r>
      <w:r>
        <w:rPr>
          <w:lang w:eastAsia="zh-CN"/>
        </w:rPr>
        <w:t>21）基金财产参与股票发行申购，本基金所申报的金额不超过本基金的总资产，本基金所申报的股票数量不超过拟发行股票公司本次发行股票的总量；</w:t>
      </w:r>
    </w:p>
    <w:p>
      <w:pPr>
        <w:ind w:firstLine="480" w:firstLineChars="200"/>
        <w:rPr>
          <w:lang w:eastAsia="zh-CN"/>
        </w:rPr>
      </w:pPr>
      <w:r>
        <w:rPr>
          <w:rFonts w:hint="eastAsia"/>
          <w:lang w:eastAsia="zh-CN"/>
        </w:rPr>
        <w:t>（</w:t>
      </w:r>
      <w:r>
        <w:rPr>
          <w:lang w:eastAsia="zh-CN"/>
        </w:rPr>
        <w:t>22）本基金进入全国银行间同业市场进行债券回购的资金余额不得超过基金资产净值的40%；债券回购最长期限为1年，债券回购到期后不得展期；</w:t>
      </w:r>
    </w:p>
    <w:p>
      <w:pPr>
        <w:ind w:firstLine="480" w:firstLineChars="200"/>
        <w:rPr>
          <w:lang w:eastAsia="zh-CN"/>
        </w:rPr>
      </w:pPr>
      <w:r>
        <w:rPr>
          <w:rFonts w:hint="eastAsia"/>
          <w:lang w:eastAsia="zh-CN"/>
        </w:rPr>
        <w:t>（</w:t>
      </w:r>
      <w:r>
        <w:rPr>
          <w:lang w:eastAsia="zh-CN"/>
        </w:rPr>
        <w:t>23）本基金总资产不得超过基金净资产的140%；</w:t>
      </w:r>
    </w:p>
    <w:p>
      <w:pPr>
        <w:ind w:firstLine="480" w:firstLineChars="200"/>
        <w:rPr>
          <w:lang w:eastAsia="zh-CN"/>
        </w:rPr>
      </w:pPr>
      <w:r>
        <w:rPr>
          <w:rFonts w:hint="eastAsia"/>
          <w:lang w:eastAsia="zh-CN"/>
        </w:rPr>
        <w:t>（</w:t>
      </w:r>
      <w:r>
        <w:rPr>
          <w:lang w:eastAsia="zh-CN"/>
        </w:rPr>
        <w:t>24）本基金与私募类证券资管产品及中国证监会认定的其他主体为交易对手开展逆回购交易的，可接受质押品的资质要求应当与基金合同约定的投资范围保持一致；</w:t>
      </w:r>
    </w:p>
    <w:p>
      <w:pPr>
        <w:ind w:firstLine="480" w:firstLineChars="200"/>
        <w:rPr>
          <w:lang w:eastAsia="zh-CN"/>
        </w:rPr>
      </w:pPr>
      <w:r>
        <w:rPr>
          <w:rFonts w:hint="eastAsia"/>
          <w:lang w:eastAsia="zh-CN"/>
        </w:rPr>
        <w:t>（</w:t>
      </w:r>
      <w:r>
        <w:rPr>
          <w:lang w:eastAsia="zh-CN"/>
        </w:rPr>
        <w:t>25）法律法规及中国证监会规定的和《基金合同》约定的其他投资限制。</w:t>
      </w:r>
    </w:p>
    <w:p>
      <w:pPr>
        <w:ind w:firstLine="480" w:firstLineChars="200"/>
        <w:rPr>
          <w:lang w:eastAsia="zh-CN"/>
        </w:rPr>
      </w:pPr>
      <w:r>
        <w:rPr>
          <w:rFonts w:hint="eastAsia"/>
          <w:lang w:eastAsia="zh-CN"/>
        </w:rPr>
        <w:t>因证券市场波动、证券发行人合并、基金规模变动等基金管理人之外的因素致使基金投资比例不符合上述第（</w:t>
      </w:r>
      <w:r>
        <w:rPr>
          <w:lang w:eastAsia="zh-CN"/>
        </w:rPr>
        <w:t>6）、（7）项规定投资比例的，基金管理人应当在20个交易日内进行调整，对于除上述第（5）、（6）、（7）、（15）、（20）、（24）项以外的其他情形，基金管理人应当在10个交易日内进行调整，但中国证监会规定的特殊情形除外。法律法规另有规定的从其规定。</w:t>
      </w:r>
    </w:p>
    <w:p>
      <w:pPr>
        <w:ind w:firstLine="480" w:firstLineChars="200"/>
        <w:rPr>
          <w:lang w:eastAsia="zh-CN"/>
        </w:rPr>
      </w:pPr>
      <w:r>
        <w:rPr>
          <w:rFonts w:hint="eastAsia"/>
          <w:lang w:eastAsia="zh-CN"/>
        </w:rPr>
        <w:t>基金管理人应当自基金合同生效之日起</w:t>
      </w:r>
      <w:r>
        <w:rPr>
          <w:lang w:eastAsia="zh-CN"/>
        </w:rPr>
        <w:t>6个月内使基金的投资组合比例符合基金合同的有关约定。在上述期间内，本基金的投资范围、投资策略应当符合基金合同的约定。基金托管人对基金的投资的监督与检查自基金合同生效之日起开始。</w:t>
      </w:r>
    </w:p>
    <w:p>
      <w:pPr>
        <w:ind w:firstLine="480" w:firstLineChars="200"/>
        <w:rPr>
          <w:lang w:eastAsia="zh-CN"/>
        </w:rPr>
      </w:pPr>
      <w:r>
        <w:rPr>
          <w:rFonts w:hint="eastAsia"/>
          <w:lang w:eastAsia="zh-CN"/>
        </w:rPr>
        <w:t>法律法规或监管部门取消或调整上述限制，如适用于本基金，基金管理人在履行适当程序后，则本基金投资不再受相关限制或按调整后的规定执行。</w:t>
      </w:r>
    </w:p>
    <w:p>
      <w:pPr>
        <w:ind w:firstLine="480" w:firstLineChars="200"/>
        <w:rPr>
          <w:lang w:eastAsia="zh-CN"/>
        </w:rPr>
      </w:pPr>
      <w:r>
        <w:rPr>
          <w:lang w:eastAsia="zh-CN"/>
        </w:rPr>
        <w:t>2、到达目标日期</w:t>
      </w:r>
      <w:r>
        <w:rPr>
          <w:rFonts w:hint="eastAsia"/>
          <w:lang w:eastAsia="zh-CN"/>
        </w:rPr>
        <w:t>后的</w:t>
      </w:r>
      <w:r>
        <w:rPr>
          <w:lang w:eastAsia="zh-CN"/>
        </w:rPr>
        <w:t>投资范围</w:t>
      </w:r>
      <w:r>
        <w:rPr>
          <w:rFonts w:hint="eastAsia"/>
          <w:lang w:eastAsia="zh-CN"/>
        </w:rPr>
        <w:t>、</w:t>
      </w:r>
      <w:r>
        <w:rPr>
          <w:lang w:eastAsia="zh-CN"/>
        </w:rPr>
        <w:t>投资比例</w:t>
      </w:r>
      <w:r>
        <w:rPr>
          <w:rFonts w:hint="eastAsia"/>
          <w:lang w:eastAsia="zh-CN"/>
        </w:rPr>
        <w:t>及</w:t>
      </w:r>
      <w:r>
        <w:rPr>
          <w:lang w:eastAsia="zh-CN"/>
        </w:rPr>
        <w:t>投资限制</w:t>
      </w:r>
    </w:p>
    <w:p>
      <w:pPr>
        <w:ind w:firstLine="480" w:firstLineChars="200"/>
        <w:rPr>
          <w:lang w:eastAsia="zh-CN"/>
        </w:rPr>
      </w:pPr>
      <w:r>
        <w:rPr>
          <w:rFonts w:hint="eastAsia"/>
          <w:lang w:eastAsia="zh-CN"/>
        </w:rPr>
        <w:t>本基金的投资范围为具有良好流动性的金融工具，包括经中国证监会依法核准或注册的公开募集证券投资基金（包含</w:t>
      </w:r>
      <w:r>
        <w:rPr>
          <w:lang w:eastAsia="zh-CN"/>
        </w:rPr>
        <w:t>ETF、LOF、QDII基金和香港互认基金）的基金份额、国内依法发行上市的股票（包括中小板、创业板及其他经中国证监会核准上市的股票）、债券（包括国债、央行票据、金融债券、企业债券、公司债券、中期票据、短期融资券、超短期融资券、次级债券、政府支持机构债、政府支持债券、地方政府债、可转换债券（含分离交易可转债）、可交换债券等）、资产支持证券、债券回购、银行存款（包括协议存款、定期存款及其他银行存款）</w:t>
      </w:r>
      <w:r>
        <w:rPr>
          <w:rFonts w:hint="eastAsia"/>
          <w:lang w:eastAsia="zh-CN"/>
        </w:rPr>
        <w:t>、</w:t>
      </w:r>
      <w:r>
        <w:rPr>
          <w:lang w:eastAsia="zh-CN"/>
        </w:rPr>
        <w:t>同业存单、货</w:t>
      </w:r>
      <w:r>
        <w:rPr>
          <w:rFonts w:hint="eastAsia"/>
          <w:lang w:eastAsia="zh-CN"/>
        </w:rPr>
        <w:t>币市场工具以及法律法规或中国证监会允许基金投资的其他金融工具（但须符合中国证监会相关规定）。</w:t>
      </w:r>
    </w:p>
    <w:p>
      <w:pPr>
        <w:ind w:firstLine="480" w:firstLineChars="200"/>
        <w:rPr>
          <w:lang w:eastAsia="zh-CN"/>
        </w:rPr>
      </w:pPr>
      <w:r>
        <w:rPr>
          <w:rFonts w:hint="eastAsia"/>
          <w:lang w:eastAsia="zh-CN"/>
        </w:rPr>
        <w:t>如法律法规或监管机构以后允许基金投资其他品种，基金管理人在履行适当程序后，可以将其纳入投资范围。</w:t>
      </w:r>
    </w:p>
    <w:p>
      <w:pPr>
        <w:ind w:firstLine="480" w:firstLineChars="200"/>
        <w:rPr>
          <w:lang w:eastAsia="zh-CN"/>
        </w:rPr>
      </w:pPr>
      <w:r>
        <w:rPr>
          <w:rFonts w:hint="eastAsia"/>
          <w:lang w:eastAsia="zh-CN"/>
        </w:rPr>
        <w:t>基金的投资组合比例为：本基金投资于经中国证监会依法核准或注册的公开募集证券投资基金的基金份额的资产不低于基金资产的</w:t>
      </w:r>
      <w:r>
        <w:rPr>
          <w:lang w:eastAsia="zh-CN"/>
        </w:rPr>
        <w:t>80%，投资于股票、股票型基金、混合型基金和商品基金（含商品期货基金和黄金ETF）等品种的比例合计原则上不超过30%；现金或到期日在一年内的政府债券不低于基金资产净值的5%，其中现金不包括结算备付金、存出保证金、应收申购款等。</w:t>
      </w:r>
    </w:p>
    <w:p>
      <w:pPr>
        <w:ind w:firstLine="480" w:firstLineChars="200"/>
        <w:rPr>
          <w:lang w:eastAsia="zh-CN"/>
        </w:rPr>
      </w:pPr>
      <w:r>
        <w:rPr>
          <w:rFonts w:hint="eastAsia"/>
          <w:lang w:eastAsia="zh-CN"/>
        </w:rPr>
        <w:t>如法律法规或中国证监会变更投资品种的投资比例限制，基金管理人在履行适当程序后，可以调整上述投资品种的投资比例。</w:t>
      </w:r>
    </w:p>
    <w:p>
      <w:pPr>
        <w:ind w:firstLine="480" w:firstLineChars="200"/>
        <w:rPr>
          <w:bCs/>
          <w:lang w:eastAsia="zh-CN"/>
        </w:rPr>
      </w:pPr>
      <w:r>
        <w:rPr>
          <w:rFonts w:hint="eastAsia"/>
          <w:bCs/>
          <w:lang w:eastAsia="zh-CN"/>
        </w:rPr>
        <w:t>基金的投资组合应遵循以下限制：</w:t>
      </w:r>
    </w:p>
    <w:p>
      <w:pPr>
        <w:ind w:firstLine="480" w:firstLineChars="200"/>
        <w:rPr>
          <w:bCs/>
          <w:lang w:eastAsia="zh-CN"/>
        </w:rPr>
      </w:pPr>
      <w:r>
        <w:rPr>
          <w:rFonts w:hint="eastAsia"/>
          <w:bCs/>
          <w:lang w:eastAsia="zh-CN"/>
        </w:rPr>
        <w:t>（</w:t>
      </w:r>
      <w:r>
        <w:rPr>
          <w:bCs/>
          <w:lang w:eastAsia="zh-CN"/>
        </w:rPr>
        <w:t>1）本基金投资于经中国证监会依法核准或注册的公开募集证券投资基金的基金份额的资产不低于基金资产的80%；</w:t>
      </w:r>
    </w:p>
    <w:p>
      <w:pPr>
        <w:ind w:firstLine="480" w:firstLineChars="200"/>
        <w:rPr>
          <w:bCs/>
          <w:lang w:eastAsia="zh-CN"/>
        </w:rPr>
      </w:pPr>
      <w:r>
        <w:rPr>
          <w:rFonts w:hint="eastAsia"/>
          <w:bCs/>
          <w:lang w:eastAsia="zh-CN"/>
        </w:rPr>
        <w:t>（</w:t>
      </w:r>
      <w:r>
        <w:rPr>
          <w:bCs/>
          <w:lang w:eastAsia="zh-CN"/>
        </w:rPr>
        <w:t>2）本基金投资于股票、股票型基金</w:t>
      </w:r>
      <w:r>
        <w:rPr>
          <w:rFonts w:hint="eastAsia"/>
          <w:bCs/>
          <w:lang w:eastAsia="zh-CN"/>
        </w:rPr>
        <w:t>、</w:t>
      </w:r>
      <w:r>
        <w:rPr>
          <w:bCs/>
          <w:lang w:eastAsia="zh-CN"/>
        </w:rPr>
        <w:t>混合型基金和商品基金（含商品期货基金和黄金ETF）等品种的比例合计</w:t>
      </w:r>
      <w:r>
        <w:rPr>
          <w:rFonts w:hint="eastAsia"/>
          <w:bCs/>
          <w:lang w:eastAsia="zh-CN"/>
        </w:rPr>
        <w:t>原则</w:t>
      </w:r>
      <w:r>
        <w:rPr>
          <w:bCs/>
          <w:lang w:eastAsia="zh-CN"/>
        </w:rPr>
        <w:t>上不超过30%；</w:t>
      </w:r>
    </w:p>
    <w:p>
      <w:pPr>
        <w:ind w:firstLine="480" w:firstLineChars="200"/>
        <w:rPr>
          <w:bCs/>
          <w:lang w:eastAsia="zh-CN"/>
        </w:rPr>
      </w:pPr>
      <w:r>
        <w:rPr>
          <w:rFonts w:hint="eastAsia"/>
          <w:bCs/>
          <w:lang w:eastAsia="zh-CN"/>
        </w:rPr>
        <w:t>（</w:t>
      </w:r>
      <w:r>
        <w:rPr>
          <w:bCs/>
          <w:lang w:eastAsia="zh-CN"/>
        </w:rPr>
        <w:t>3）本基金投资商品基金占基金资产的比例不超过10%；</w:t>
      </w:r>
    </w:p>
    <w:p>
      <w:pPr>
        <w:ind w:firstLine="480" w:firstLineChars="200"/>
        <w:rPr>
          <w:bCs/>
          <w:lang w:eastAsia="zh-CN"/>
        </w:rPr>
      </w:pPr>
      <w:r>
        <w:rPr>
          <w:rFonts w:hint="eastAsia"/>
          <w:bCs/>
          <w:lang w:eastAsia="zh-CN"/>
        </w:rPr>
        <w:t>（</w:t>
      </w:r>
      <w:r>
        <w:rPr>
          <w:bCs/>
          <w:lang w:eastAsia="zh-CN"/>
        </w:rPr>
        <w:t>4）本基金投资货币市场基金占基金资产的比例不超过15%；</w:t>
      </w:r>
    </w:p>
    <w:p>
      <w:pPr>
        <w:ind w:firstLine="480" w:firstLineChars="200"/>
        <w:rPr>
          <w:bCs/>
          <w:lang w:eastAsia="zh-CN"/>
        </w:rPr>
      </w:pPr>
      <w:r>
        <w:rPr>
          <w:rFonts w:hint="eastAsia"/>
          <w:bCs/>
          <w:lang w:eastAsia="zh-CN"/>
        </w:rPr>
        <w:t>（</w:t>
      </w:r>
      <w:r>
        <w:rPr>
          <w:bCs/>
          <w:lang w:eastAsia="zh-CN"/>
        </w:rPr>
        <w:t>5）保持不低于基金资产净值5%的现金或者到期日在一年以内的政府债券，其中现金不包括结算备付金、存出保证金、应收申购款等；</w:t>
      </w:r>
    </w:p>
    <w:p>
      <w:pPr>
        <w:ind w:firstLine="480" w:firstLineChars="200"/>
        <w:rPr>
          <w:bCs/>
          <w:lang w:eastAsia="zh-CN"/>
        </w:rPr>
      </w:pPr>
      <w:r>
        <w:rPr>
          <w:rFonts w:hint="eastAsia"/>
          <w:bCs/>
          <w:lang w:eastAsia="zh-CN"/>
        </w:rPr>
        <w:t>（</w:t>
      </w:r>
      <w:r>
        <w:rPr>
          <w:bCs/>
          <w:lang w:eastAsia="zh-CN"/>
        </w:rPr>
        <w:t>6）本基金持有单只基金的市值，不高于基金资产净值的20%，且不得持有其他基金中基金；</w:t>
      </w:r>
    </w:p>
    <w:p>
      <w:pPr>
        <w:ind w:firstLine="480" w:firstLineChars="200"/>
        <w:rPr>
          <w:bCs/>
          <w:lang w:eastAsia="zh-CN"/>
        </w:rPr>
      </w:pPr>
      <w:r>
        <w:rPr>
          <w:rFonts w:hint="eastAsia"/>
          <w:bCs/>
          <w:lang w:eastAsia="zh-CN"/>
        </w:rPr>
        <w:t>（</w:t>
      </w:r>
      <w:r>
        <w:rPr>
          <w:bCs/>
          <w:lang w:eastAsia="zh-CN"/>
        </w:rPr>
        <w:t>7）本基金管理人管理的全部基金中基金（ETF联接基金除外），持有单只基金不得超过被投资基金净资产的20%，被投资基金净资产规模以最近定期报告披露的规模为准；</w:t>
      </w:r>
    </w:p>
    <w:p>
      <w:pPr>
        <w:ind w:firstLine="480" w:firstLineChars="200"/>
        <w:rPr>
          <w:bCs/>
          <w:lang w:eastAsia="zh-CN"/>
        </w:rPr>
      </w:pPr>
      <w:r>
        <w:rPr>
          <w:rFonts w:hint="eastAsia"/>
          <w:bCs/>
          <w:lang w:eastAsia="zh-CN"/>
        </w:rPr>
        <w:t>（</w:t>
      </w:r>
      <w:r>
        <w:rPr>
          <w:bCs/>
          <w:lang w:eastAsia="zh-CN"/>
        </w:rPr>
        <w:t>8）本基金不得持有具有复杂、衍生品性质的基金份额，中国证监会认可或批准的特殊基金中基金除外；</w:t>
      </w:r>
    </w:p>
    <w:p>
      <w:pPr>
        <w:ind w:firstLine="480" w:firstLineChars="200"/>
        <w:rPr>
          <w:bCs/>
          <w:lang w:eastAsia="zh-CN"/>
        </w:rPr>
      </w:pPr>
      <w:r>
        <w:rPr>
          <w:rFonts w:hint="eastAsia"/>
          <w:bCs/>
          <w:lang w:eastAsia="zh-CN"/>
        </w:rPr>
        <w:t>（</w:t>
      </w:r>
      <w:r>
        <w:rPr>
          <w:bCs/>
          <w:lang w:eastAsia="zh-CN"/>
        </w:rPr>
        <w:t>9）本基金投资其他基金，被投资基金运作期限应当不少于1年，最近定期报告披露的基金净资产应当不低于1亿元；</w:t>
      </w:r>
    </w:p>
    <w:p>
      <w:pPr>
        <w:ind w:firstLine="480" w:firstLineChars="200"/>
        <w:rPr>
          <w:bCs/>
          <w:lang w:eastAsia="zh-CN"/>
        </w:rPr>
      </w:pPr>
      <w:r>
        <w:rPr>
          <w:rFonts w:hint="eastAsia"/>
          <w:bCs/>
          <w:lang w:eastAsia="zh-CN"/>
        </w:rPr>
        <w:t>（</w:t>
      </w:r>
      <w:r>
        <w:rPr>
          <w:bCs/>
          <w:lang w:eastAsia="zh-CN"/>
        </w:rPr>
        <w:t>10）本基金投资于封闭运作基金、定期开放基金等流通受限基金的公允价值不超过基金资产净值的10%；</w:t>
      </w:r>
    </w:p>
    <w:p>
      <w:pPr>
        <w:ind w:firstLine="480" w:firstLineChars="200"/>
        <w:rPr>
          <w:bCs/>
          <w:lang w:eastAsia="zh-CN"/>
        </w:rPr>
      </w:pPr>
      <w:r>
        <w:rPr>
          <w:rFonts w:hint="eastAsia"/>
          <w:bCs/>
          <w:lang w:eastAsia="zh-CN"/>
        </w:rPr>
        <w:t>（</w:t>
      </w:r>
      <w:r>
        <w:rPr>
          <w:bCs/>
          <w:lang w:eastAsia="zh-CN"/>
        </w:rPr>
        <w:t>11）基金管理人运用本基金财产投资于股票、债券等金融工具的，投资品种和比例应当符合本基金的投资目标和投资策略；</w:t>
      </w:r>
    </w:p>
    <w:p>
      <w:pPr>
        <w:ind w:firstLine="480" w:firstLineChars="200"/>
        <w:rPr>
          <w:bCs/>
          <w:lang w:eastAsia="zh-CN"/>
        </w:rPr>
      </w:pPr>
      <w:r>
        <w:rPr>
          <w:rFonts w:hint="eastAsia"/>
          <w:bCs/>
          <w:lang w:eastAsia="zh-CN"/>
        </w:rPr>
        <w:t>（</w:t>
      </w:r>
      <w:r>
        <w:rPr>
          <w:bCs/>
          <w:lang w:eastAsia="zh-CN"/>
        </w:rPr>
        <w:t>12）本基金持有一家公司发行的证券（不含本基金所投资的基金份额），其市值不超过基金资产净值的10%；</w:t>
      </w:r>
    </w:p>
    <w:p>
      <w:pPr>
        <w:ind w:firstLine="480" w:firstLineChars="200"/>
        <w:rPr>
          <w:bCs/>
          <w:lang w:eastAsia="zh-CN"/>
        </w:rPr>
      </w:pPr>
      <w:r>
        <w:rPr>
          <w:rFonts w:hint="eastAsia"/>
          <w:bCs/>
          <w:lang w:eastAsia="zh-CN"/>
        </w:rPr>
        <w:t>（</w:t>
      </w:r>
      <w:r>
        <w:rPr>
          <w:bCs/>
          <w:lang w:eastAsia="zh-CN"/>
        </w:rPr>
        <w:t>13）本基金管理人管理的全部基金持有一家公司发行的证券（不含本基金所投资的基金份额），不超过该证券的10%；</w:t>
      </w:r>
    </w:p>
    <w:p>
      <w:pPr>
        <w:ind w:firstLine="480" w:firstLineChars="200"/>
        <w:rPr>
          <w:bCs/>
          <w:lang w:eastAsia="zh-CN"/>
        </w:rPr>
      </w:pPr>
      <w:r>
        <w:rPr>
          <w:rFonts w:hint="eastAsia"/>
          <w:bCs/>
          <w:lang w:eastAsia="zh-CN"/>
        </w:rPr>
        <w:t>（</w:t>
      </w:r>
      <w:r>
        <w:rPr>
          <w:bCs/>
          <w:lang w:eastAsia="zh-CN"/>
        </w:rPr>
        <w:t>14）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pPr>
        <w:ind w:firstLine="480" w:firstLineChars="200"/>
        <w:rPr>
          <w:bCs/>
          <w:lang w:eastAsia="zh-CN"/>
        </w:rPr>
      </w:pPr>
      <w:r>
        <w:rPr>
          <w:rFonts w:hint="eastAsia"/>
          <w:bCs/>
          <w:lang w:eastAsia="zh-CN"/>
        </w:rPr>
        <w:t>（</w:t>
      </w:r>
      <w:r>
        <w:rPr>
          <w:bCs/>
          <w:lang w:eastAsia="zh-CN"/>
        </w:rPr>
        <w:t>15）本基金主动投资于流动性受限资产的市值合计不得超过基金资产净值的15%；因证券市场波动、上市公司股票停牌、基金规模变动等基金管理人之外的因素致使基金不符合本款所规定比例限制的，本基金管理人不得主动新增流动性受限资产的投资；</w:t>
      </w:r>
    </w:p>
    <w:p>
      <w:pPr>
        <w:ind w:firstLine="480" w:firstLineChars="200"/>
        <w:rPr>
          <w:bCs/>
          <w:lang w:eastAsia="zh-CN"/>
        </w:rPr>
      </w:pPr>
      <w:r>
        <w:rPr>
          <w:rFonts w:hint="eastAsia"/>
          <w:bCs/>
          <w:lang w:eastAsia="zh-CN"/>
        </w:rPr>
        <w:t>（</w:t>
      </w:r>
      <w:r>
        <w:rPr>
          <w:bCs/>
          <w:lang w:eastAsia="zh-CN"/>
        </w:rPr>
        <w:t>16）本基金投资于同一原始权益人的各类资产支持证券的比例，不得超过基金资产净值的10%；</w:t>
      </w:r>
    </w:p>
    <w:p>
      <w:pPr>
        <w:ind w:firstLine="480" w:firstLineChars="200"/>
        <w:rPr>
          <w:bCs/>
          <w:lang w:eastAsia="zh-CN"/>
        </w:rPr>
      </w:pPr>
      <w:r>
        <w:rPr>
          <w:rFonts w:hint="eastAsia"/>
          <w:bCs/>
          <w:lang w:eastAsia="zh-CN"/>
        </w:rPr>
        <w:t>（</w:t>
      </w:r>
      <w:r>
        <w:rPr>
          <w:bCs/>
          <w:lang w:eastAsia="zh-CN"/>
        </w:rPr>
        <w:t>17）本基金持有的全部资产支持证券，其市值不得超过基金资产净值的20%；</w:t>
      </w:r>
    </w:p>
    <w:p>
      <w:pPr>
        <w:ind w:firstLine="480" w:firstLineChars="200"/>
        <w:rPr>
          <w:bCs/>
          <w:lang w:eastAsia="zh-CN"/>
        </w:rPr>
      </w:pPr>
      <w:r>
        <w:rPr>
          <w:rFonts w:hint="eastAsia"/>
          <w:bCs/>
          <w:lang w:eastAsia="zh-CN"/>
        </w:rPr>
        <w:t>（</w:t>
      </w:r>
      <w:r>
        <w:rPr>
          <w:bCs/>
          <w:lang w:eastAsia="zh-CN"/>
        </w:rPr>
        <w:t>18）本基金持有的同一（指同一信用级别）资产支持证券的比例，不得超过该资产支持证券规模的10%；</w:t>
      </w:r>
    </w:p>
    <w:p>
      <w:pPr>
        <w:ind w:firstLine="480" w:firstLineChars="200"/>
        <w:rPr>
          <w:bCs/>
          <w:lang w:eastAsia="zh-CN"/>
        </w:rPr>
      </w:pPr>
      <w:r>
        <w:rPr>
          <w:rFonts w:hint="eastAsia"/>
          <w:bCs/>
          <w:lang w:eastAsia="zh-CN"/>
        </w:rPr>
        <w:t>（</w:t>
      </w:r>
      <w:r>
        <w:rPr>
          <w:bCs/>
          <w:lang w:eastAsia="zh-CN"/>
        </w:rPr>
        <w:t>19）本基金管理人管理的全部基金投资于同一原始权益人的各类资产支持证券，不得超过其各类资产支持证券合计规模的10%；</w:t>
      </w:r>
    </w:p>
    <w:p>
      <w:pPr>
        <w:ind w:firstLine="480" w:firstLineChars="200"/>
        <w:rPr>
          <w:bCs/>
          <w:lang w:eastAsia="zh-CN"/>
        </w:rPr>
      </w:pPr>
      <w:r>
        <w:rPr>
          <w:rFonts w:hint="eastAsia"/>
          <w:bCs/>
          <w:lang w:eastAsia="zh-CN"/>
        </w:rPr>
        <w:t>（</w:t>
      </w:r>
      <w:r>
        <w:rPr>
          <w:bCs/>
          <w:lang w:eastAsia="zh-CN"/>
        </w:rPr>
        <w:t>20）本基金应投资于信用级别评级为BBB以上（含BBB）的资产支持证券。基金持有资产支持证券期间，如果其信用等级下降、不再符合投资标准，应在评级报告发布之日起3个月内予以全部卖出；</w:t>
      </w:r>
    </w:p>
    <w:p>
      <w:pPr>
        <w:ind w:firstLine="480" w:firstLineChars="200"/>
        <w:rPr>
          <w:bCs/>
          <w:lang w:eastAsia="zh-CN"/>
        </w:rPr>
      </w:pPr>
      <w:r>
        <w:rPr>
          <w:rFonts w:hint="eastAsia"/>
          <w:bCs/>
          <w:lang w:eastAsia="zh-CN"/>
        </w:rPr>
        <w:t>（</w:t>
      </w:r>
      <w:r>
        <w:rPr>
          <w:bCs/>
          <w:lang w:eastAsia="zh-CN"/>
        </w:rPr>
        <w:t>21）基金财产参与股票发行申购，本基金所申报的金额不超过本基金的总资产，本基金所申报的股票数量不超过拟发行股票公司本次发行股票的总量；</w:t>
      </w:r>
    </w:p>
    <w:p>
      <w:pPr>
        <w:ind w:firstLine="480" w:firstLineChars="200"/>
        <w:rPr>
          <w:bCs/>
          <w:lang w:eastAsia="zh-CN"/>
        </w:rPr>
      </w:pPr>
      <w:r>
        <w:rPr>
          <w:rFonts w:hint="eastAsia"/>
          <w:bCs/>
          <w:lang w:eastAsia="zh-CN"/>
        </w:rPr>
        <w:t>（</w:t>
      </w:r>
      <w:r>
        <w:rPr>
          <w:bCs/>
          <w:lang w:eastAsia="zh-CN"/>
        </w:rPr>
        <w:t>22）本基金进入全国银行间同业市场进行债券回购的资金余额不得超过基金资产净值的40%；债券回购最长期限为1年，债券回购到期后不得展期；</w:t>
      </w:r>
    </w:p>
    <w:p>
      <w:pPr>
        <w:ind w:firstLine="480" w:firstLineChars="200"/>
        <w:rPr>
          <w:bCs/>
          <w:lang w:eastAsia="zh-CN"/>
        </w:rPr>
      </w:pPr>
      <w:r>
        <w:rPr>
          <w:rFonts w:hint="eastAsia"/>
          <w:bCs/>
          <w:lang w:eastAsia="zh-CN"/>
        </w:rPr>
        <w:t>（</w:t>
      </w:r>
      <w:r>
        <w:rPr>
          <w:bCs/>
          <w:lang w:eastAsia="zh-CN"/>
        </w:rPr>
        <w:t>23）本基金总资产不得超过基金净资产的140%；</w:t>
      </w:r>
    </w:p>
    <w:p>
      <w:pPr>
        <w:ind w:firstLine="480" w:firstLineChars="200"/>
        <w:rPr>
          <w:bCs/>
          <w:lang w:eastAsia="zh-CN"/>
        </w:rPr>
      </w:pPr>
      <w:r>
        <w:rPr>
          <w:rFonts w:hint="eastAsia"/>
          <w:bCs/>
          <w:lang w:eastAsia="zh-CN"/>
        </w:rPr>
        <w:t>（</w:t>
      </w:r>
      <w:r>
        <w:rPr>
          <w:bCs/>
          <w:lang w:eastAsia="zh-CN"/>
        </w:rPr>
        <w:t>24）本基金与私募类证券资管产品及中国证监会认定的其他主体为交易对手开展逆回购交易的，可接受质押品的资质要求应当与基金合同约定的投资范围保持一致；</w:t>
      </w:r>
    </w:p>
    <w:p>
      <w:pPr>
        <w:ind w:firstLine="480" w:firstLineChars="200"/>
        <w:rPr>
          <w:bCs/>
          <w:lang w:eastAsia="zh-CN"/>
        </w:rPr>
      </w:pPr>
      <w:r>
        <w:rPr>
          <w:rFonts w:hint="eastAsia"/>
          <w:bCs/>
          <w:lang w:eastAsia="zh-CN"/>
        </w:rPr>
        <w:t>（</w:t>
      </w:r>
      <w:r>
        <w:rPr>
          <w:bCs/>
          <w:lang w:eastAsia="zh-CN"/>
        </w:rPr>
        <w:t>25）法律法规及中国证监会规定的和《基金合同》约定的其他投资限制。</w:t>
      </w:r>
    </w:p>
    <w:p>
      <w:pPr>
        <w:ind w:firstLine="480" w:firstLineChars="200"/>
        <w:rPr>
          <w:bCs/>
          <w:lang w:eastAsia="zh-CN"/>
        </w:rPr>
      </w:pPr>
      <w:r>
        <w:rPr>
          <w:rFonts w:hint="eastAsia"/>
          <w:bCs/>
          <w:lang w:eastAsia="zh-CN"/>
        </w:rPr>
        <w:t>因证券市场波动、证券发行人合并、基金规模变动等基金管理人之外的因素致使基金投资比例不符合上述第（</w:t>
      </w:r>
      <w:r>
        <w:rPr>
          <w:bCs/>
          <w:lang w:eastAsia="zh-CN"/>
        </w:rPr>
        <w:t>6）、（7）项规定投资比例的，基金管理人应当在20个交易日内进行调整，对于除上述第（5）、（6）、（7）、（15）、（20）、（24）项以外的其他情形，基金管理人应当在10个交易日内进行调整，但中国证监会规定的特殊情形除外。法律法规另有规定的从其规定。</w:t>
      </w:r>
    </w:p>
    <w:p>
      <w:pPr>
        <w:ind w:firstLine="480"/>
        <w:rPr>
          <w:bCs/>
          <w:lang w:eastAsia="zh-CN"/>
        </w:rPr>
      </w:pPr>
      <w:r>
        <w:rPr>
          <w:rFonts w:hint="eastAsia"/>
          <w:bCs/>
          <w:lang w:eastAsia="zh-CN"/>
        </w:rPr>
        <w:t>基金管理人应当自基金合同生效之日起</w:t>
      </w:r>
      <w:r>
        <w:rPr>
          <w:bCs/>
          <w:lang w:eastAsia="zh-CN"/>
        </w:rPr>
        <w:t>6个月内使基金的投资组合比例符合基金合同的有关约定。在上述期间内，本基金的投资范围、投资策略应当符合基金合同的约定。基金托管人对基金的投资的监督与检查自基金合同生效之日起开始。</w:t>
      </w:r>
    </w:p>
    <w:p>
      <w:pPr>
        <w:ind w:firstLine="482"/>
        <w:rPr>
          <w:lang w:eastAsia="zh-CN"/>
        </w:rPr>
      </w:pPr>
      <w:r>
        <w:rPr>
          <w:rFonts w:hint="eastAsia"/>
          <w:lang w:eastAsia="zh-CN"/>
        </w:rPr>
        <w:t>法律法规或监管部门取消或调整上述限制，如适用于本基金，基金管理人在履行适当程序后，则本基金投资不再受相关限制或按调整后的规定执行。</w:t>
      </w:r>
    </w:p>
    <w:p>
      <w:pPr>
        <w:ind w:firstLine="482"/>
        <w:rPr>
          <w:lang w:eastAsia="zh-CN"/>
        </w:rPr>
      </w:pPr>
      <w:r>
        <w:rPr>
          <w:rFonts w:hint="eastAsia"/>
          <w:lang w:eastAsia="zh-CN"/>
        </w:rPr>
        <w:t>基金托管人依照相关法律法规、基金合同及托管协议约定履行了监督职责，基金管理人仍违反法律法规规定、基金合同或托管协议约定的投资组合比例限制而造成基金财产损失的，由基金管理人承担责任，基金托管人不承担任何责任。</w:t>
      </w:r>
    </w:p>
    <w:p>
      <w:pPr>
        <w:ind w:firstLine="482"/>
        <w:rPr>
          <w:lang w:eastAsia="zh-CN"/>
        </w:rPr>
      </w:pPr>
      <w:r>
        <w:rPr>
          <w:rFonts w:hint="eastAsia"/>
          <w:lang w:eastAsia="zh-CN"/>
        </w:rPr>
        <w:t>（二）基金托管人根据有关法律法规的规定及基金合同的约定对下述基金投资禁止行为进行监督。</w:t>
      </w:r>
      <w:r>
        <w:rPr>
          <w:rFonts w:hint="eastAsia" w:cs="Arial"/>
          <w:szCs w:val="21"/>
          <w:lang w:eastAsia="zh-CN"/>
        </w:rPr>
        <w:t>除本协议</w:t>
      </w:r>
      <w:r>
        <w:rPr>
          <w:rFonts w:cs="Arial"/>
          <w:szCs w:val="21"/>
          <w:lang w:eastAsia="zh-CN"/>
        </w:rPr>
        <w:t>另有约定</w:t>
      </w:r>
      <w:r>
        <w:rPr>
          <w:rFonts w:hint="eastAsia" w:cs="Arial"/>
          <w:szCs w:val="21"/>
          <w:lang w:eastAsia="zh-CN"/>
        </w:rPr>
        <w:t>外</w:t>
      </w:r>
      <w:r>
        <w:rPr>
          <w:rFonts w:cs="Arial"/>
          <w:szCs w:val="21"/>
          <w:lang w:eastAsia="zh-CN"/>
        </w:rPr>
        <w:t>，</w:t>
      </w:r>
      <w:r>
        <w:rPr>
          <w:rFonts w:hint="eastAsia" w:cs="Arial"/>
          <w:szCs w:val="21"/>
          <w:lang w:eastAsia="zh-CN"/>
        </w:rPr>
        <w:t>基金托管人通过事后监督方式对基金管理人基金投资禁止行为进行监督。</w:t>
      </w:r>
    </w:p>
    <w:p>
      <w:pPr>
        <w:spacing w:line="300" w:lineRule="auto"/>
        <w:ind w:firstLine="482"/>
        <w:rPr>
          <w:lang w:eastAsia="zh-CN"/>
        </w:rPr>
      </w:pPr>
      <w:r>
        <w:rPr>
          <w:rFonts w:hint="eastAsia"/>
          <w:lang w:eastAsia="zh-CN"/>
        </w:rPr>
        <w:t>根据法律法规的规定及基金合同的约定，基金财产不得用于下列投资或者活动：</w:t>
      </w:r>
    </w:p>
    <w:p>
      <w:pPr>
        <w:ind w:firstLine="480" w:firstLineChars="200"/>
        <w:rPr>
          <w:bCs/>
          <w:lang w:eastAsia="zh-CN"/>
        </w:rPr>
      </w:pPr>
      <w:r>
        <w:rPr>
          <w:bCs/>
          <w:lang w:eastAsia="zh-CN"/>
        </w:rPr>
        <w:t>1</w:t>
      </w:r>
      <w:r>
        <w:rPr>
          <w:rFonts w:hint="eastAsia"/>
          <w:bCs/>
          <w:lang w:eastAsia="zh-CN"/>
        </w:rPr>
        <w:t>．</w:t>
      </w:r>
      <w:r>
        <w:rPr>
          <w:bCs/>
          <w:lang w:eastAsia="zh-CN"/>
        </w:rPr>
        <w:t>承销证券；</w:t>
      </w:r>
    </w:p>
    <w:p>
      <w:pPr>
        <w:ind w:firstLine="480" w:firstLineChars="200"/>
        <w:rPr>
          <w:bCs/>
          <w:lang w:eastAsia="zh-CN"/>
        </w:rPr>
      </w:pPr>
      <w:r>
        <w:rPr>
          <w:rFonts w:hint="eastAsia"/>
          <w:bCs/>
          <w:lang w:eastAsia="zh-CN"/>
        </w:rPr>
        <w:t>2．</w:t>
      </w:r>
      <w:r>
        <w:rPr>
          <w:bCs/>
          <w:lang w:eastAsia="zh-CN"/>
        </w:rPr>
        <w:t>违反规定向他人贷款或者提供担保；</w:t>
      </w:r>
    </w:p>
    <w:p>
      <w:pPr>
        <w:ind w:firstLine="480" w:firstLineChars="200"/>
        <w:rPr>
          <w:bCs/>
          <w:lang w:eastAsia="zh-CN"/>
        </w:rPr>
      </w:pPr>
      <w:r>
        <w:rPr>
          <w:rFonts w:hint="eastAsia"/>
          <w:bCs/>
          <w:lang w:eastAsia="zh-CN"/>
        </w:rPr>
        <w:t>3．</w:t>
      </w:r>
      <w:r>
        <w:rPr>
          <w:bCs/>
          <w:lang w:eastAsia="zh-CN"/>
        </w:rPr>
        <w:t>从事承担无限责任的投资；</w:t>
      </w:r>
    </w:p>
    <w:p>
      <w:pPr>
        <w:ind w:firstLine="480" w:firstLineChars="200"/>
        <w:rPr>
          <w:bCs/>
          <w:lang w:eastAsia="zh-CN"/>
        </w:rPr>
      </w:pPr>
      <w:r>
        <w:rPr>
          <w:bCs/>
          <w:lang w:eastAsia="zh-CN"/>
        </w:rPr>
        <w:t>4</w:t>
      </w:r>
      <w:r>
        <w:rPr>
          <w:rFonts w:hint="eastAsia"/>
          <w:bCs/>
          <w:lang w:eastAsia="zh-CN"/>
        </w:rPr>
        <w:t>．</w:t>
      </w:r>
      <w:r>
        <w:rPr>
          <w:bCs/>
          <w:lang w:eastAsia="zh-CN"/>
        </w:rPr>
        <w:t>向</w:t>
      </w:r>
      <w:r>
        <w:rPr>
          <w:rFonts w:hint="eastAsia"/>
          <w:bCs/>
          <w:lang w:eastAsia="zh-CN"/>
        </w:rPr>
        <w:t>其</w:t>
      </w:r>
      <w:r>
        <w:rPr>
          <w:bCs/>
          <w:lang w:eastAsia="zh-CN"/>
        </w:rPr>
        <w:t>基金管理人、基金托管人出资；</w:t>
      </w:r>
    </w:p>
    <w:p>
      <w:pPr>
        <w:ind w:firstLine="480" w:firstLineChars="200"/>
        <w:rPr>
          <w:bCs/>
          <w:lang w:eastAsia="zh-CN"/>
        </w:rPr>
      </w:pPr>
      <w:r>
        <w:rPr>
          <w:bCs/>
          <w:lang w:eastAsia="zh-CN"/>
        </w:rPr>
        <w:t>5</w:t>
      </w:r>
      <w:r>
        <w:rPr>
          <w:rFonts w:hint="eastAsia"/>
          <w:bCs/>
          <w:lang w:eastAsia="zh-CN"/>
        </w:rPr>
        <w:t>．</w:t>
      </w:r>
      <w:r>
        <w:rPr>
          <w:bCs/>
          <w:lang w:eastAsia="zh-CN"/>
        </w:rPr>
        <w:t>从事内幕交易、操纵证券交易价格及其他不正当的证券交易活动；</w:t>
      </w:r>
    </w:p>
    <w:p>
      <w:pPr>
        <w:ind w:firstLine="480" w:firstLineChars="200"/>
        <w:rPr>
          <w:bCs/>
          <w:lang w:eastAsia="zh-CN"/>
        </w:rPr>
      </w:pPr>
      <w:r>
        <w:rPr>
          <w:bCs/>
          <w:lang w:eastAsia="zh-CN"/>
        </w:rPr>
        <w:t>6</w:t>
      </w:r>
      <w:r>
        <w:rPr>
          <w:rFonts w:hint="eastAsia"/>
          <w:bCs/>
          <w:lang w:eastAsia="zh-CN"/>
        </w:rPr>
        <w:t>．</w:t>
      </w:r>
      <w:r>
        <w:rPr>
          <w:bCs/>
          <w:lang w:eastAsia="zh-CN"/>
        </w:rPr>
        <w:t>法律、行政法规和中国证监会规定禁止的其他活动</w:t>
      </w:r>
      <w:r>
        <w:rPr>
          <w:rFonts w:hint="eastAsia"/>
          <w:bCs/>
          <w:lang w:eastAsia="zh-CN"/>
        </w:rPr>
        <w:t>。</w:t>
      </w:r>
    </w:p>
    <w:p>
      <w:pPr>
        <w:ind w:firstLine="480"/>
        <w:rPr>
          <w:lang w:eastAsia="zh-CN"/>
        </w:rPr>
      </w:pPr>
      <w:r>
        <w:rPr>
          <w:rFonts w:hint="eastAsia"/>
          <w:bCs/>
          <w:lang w:eastAsia="zh-CN"/>
        </w:rPr>
        <w:t>如法律法规或监管部门取消或调整上述禁止性规定，基金管理人在履行法定程序后，则本基金投资不再受相关限制或按调整后的规定执行。</w:t>
      </w:r>
    </w:p>
    <w:p>
      <w:pPr>
        <w:ind w:firstLine="480"/>
        <w:rPr>
          <w:lang w:eastAsia="zh-CN"/>
        </w:rPr>
      </w:pPr>
      <w:r>
        <w:rPr>
          <w:rFonts w:hint="eastAsia"/>
          <w:lang w:eastAsia="zh-CN"/>
        </w:rPr>
        <w:t>基金托管人依照相关法律法规、基金合同及托管协议约定履行了监督职责，基金管理人仍违反法律法规规定、基金合同或托管协议约定的投资禁止行为而造成基金财产损失的，由基金管理人承担责任，基金托管人不承担任何责任。</w:t>
      </w:r>
    </w:p>
    <w:p>
      <w:pPr>
        <w:ind w:firstLine="480"/>
        <w:rPr>
          <w:lang w:eastAsia="zh-CN"/>
        </w:rPr>
      </w:pPr>
      <w:r>
        <w:rPr>
          <w:rFonts w:hint="eastAsia"/>
          <w:lang w:eastAsia="zh-CN"/>
        </w:rPr>
        <w:t>（三）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Pr>
          <w:bCs/>
          <w:lang w:eastAsia="zh-CN"/>
        </w:rPr>
        <w:t>基金份额</w:t>
      </w:r>
      <w:r>
        <w:rPr>
          <w:rFonts w:hint="eastAsia"/>
          <w:lang w:eastAsia="zh-CN"/>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ind w:firstLine="480"/>
        <w:rPr>
          <w:lang w:eastAsia="zh-CN"/>
        </w:rPr>
      </w:pPr>
      <w:r>
        <w:rPr>
          <w:rFonts w:hint="eastAsia"/>
          <w:bCs/>
          <w:lang w:eastAsia="zh-CN"/>
        </w:rPr>
        <w:t>法律法规或监管部门取消或变更上述限制，如适用于本基金，在基金管理人履行适当程序后，本基金投资不再受相关限制或按变更后的规定执行，无需经基金份额持有人大会审议。</w:t>
      </w:r>
    </w:p>
    <w:p>
      <w:pPr>
        <w:ind w:firstLine="480"/>
        <w:rPr>
          <w:lang w:eastAsia="zh-CN"/>
        </w:rPr>
      </w:pPr>
      <w:r>
        <w:rPr>
          <w:rFonts w:hint="eastAsia"/>
          <w:lang w:eastAsia="zh-CN"/>
        </w:rPr>
        <w:t>（四）基金托管人根据有关法律法规的规定及基金合同的约定，对基金管理人参与银行间债券市场进行监督。</w:t>
      </w:r>
    </w:p>
    <w:p>
      <w:pPr>
        <w:ind w:firstLine="480"/>
        <w:rPr>
          <w:lang w:eastAsia="zh-CN"/>
        </w:rPr>
      </w:pPr>
      <w:r>
        <w:rPr>
          <w:rFonts w:hint="eastAsia"/>
          <w:lang w:eastAsia="zh-CN"/>
        </w:rPr>
        <w:t>基金管理人应在基金投资运作之前向基金托管人提供符合法律法规及行业标准的、经慎重选择的、本基金适用的银行间债券市场交易对手名单，并约定各交易对手所适用的交易结算方式。</w:t>
      </w:r>
      <w:r>
        <w:rPr>
          <w:rFonts w:hint="eastAsia" w:cs="Arial"/>
          <w:szCs w:val="21"/>
          <w:lang w:eastAsia="zh-CN"/>
        </w:rPr>
        <w:t>基金管理人应严格按照交易对手名单的范围在银行间债券市场选择交易对手。</w:t>
      </w:r>
      <w:r>
        <w:rPr>
          <w:rFonts w:hint="eastAsia"/>
          <w:lang w:eastAsia="zh-CN"/>
        </w:rPr>
        <w:t>基金托管人监督基金管理人是否按事前提供的银行间债券市场交易对手名单进行交易，如基金管理人未按要求提供银行间债券市场交易对手名单，导致基金托管人无法有效履行监督职责，由此造成的损失和责任均由基金管理人承担。</w:t>
      </w:r>
    </w:p>
    <w:p>
      <w:pPr>
        <w:ind w:firstLine="480"/>
        <w:rPr>
          <w:lang w:eastAsia="zh-CN"/>
        </w:rPr>
      </w:pPr>
      <w:r>
        <w:rPr>
          <w:rFonts w:hint="eastAsia"/>
          <w:lang w:eastAsia="zh-CN"/>
        </w:rPr>
        <w:t>基金管理人对银行间债券市场交易对手名单及结算方式进行更新，应及时通知基金托管人，新名单自基金托管人确认后生效，新名单生效前已与本次剔除的交易对手所进行但尚未结算的交易，仍应按照协议进行结算。如基金管理人根据市场情况需要调整银行间债券市场交易对手名单及结算方式的，应向基金托管人说明理由，并在与交易对手发生交易前3个工作日内与基金托管人确认，双方共同协商解决。如果基金托管人发现基金管理人与不在名单内的银行间市场交易对手进行交易，应及时提醒基金管理人，经提醒后基金管理人仍未改正的，基金托管人不承担由此造成的任何损失和责任。</w:t>
      </w:r>
    </w:p>
    <w:p>
      <w:pPr>
        <w:ind w:firstLine="480"/>
        <w:rPr>
          <w:lang w:eastAsia="zh-CN"/>
        </w:rPr>
      </w:pPr>
      <w:r>
        <w:rPr>
          <w:rFonts w:hint="eastAsia"/>
          <w:lang w:eastAsia="zh-CN"/>
        </w:rPr>
        <w:t>基金管理人负责对交易对手的资信控制和交易方式进行控制，按银行间债券市场的交易规则进行交易，</w:t>
      </w:r>
      <w:r>
        <w:rPr>
          <w:rFonts w:hint="eastAsia" w:cs="Arial"/>
          <w:szCs w:val="21"/>
          <w:lang w:eastAsia="zh-CN"/>
        </w:rPr>
        <w:t>并负责解决因交易对手不履行合同而造成的纠纷及损失，基金托管人不承担由此造成的任何法律责任及损失。</w:t>
      </w:r>
      <w:r>
        <w:rPr>
          <w:rFonts w:hint="eastAsia"/>
          <w:lang w:eastAsia="zh-CN"/>
        </w:rPr>
        <w:t>基金托管人根据银行间债券市场成交单对合同履行情况进行监督，如基金托管人发现基金管理人没有按照事先约定的交易对手或交易方式进行交易时，基金托管人应及时提醒基金管理人，经提醒后基金管理人仍未改正的，基金托管人不承担由此造成的任何损失和责任。</w:t>
      </w:r>
    </w:p>
    <w:p>
      <w:pPr>
        <w:ind w:firstLine="480"/>
        <w:rPr>
          <w:lang w:eastAsia="zh-CN"/>
        </w:rPr>
      </w:pPr>
      <w:r>
        <w:rPr>
          <w:rFonts w:hint="eastAsia"/>
          <w:lang w:eastAsia="zh-CN"/>
        </w:rPr>
        <w:t>（五）基金托管人根据有关法律法规的规定及基金合同的约定，对基金管理人选择存款银行进行监督。</w:t>
      </w:r>
    </w:p>
    <w:p>
      <w:pPr>
        <w:ind w:firstLine="480"/>
        <w:rPr>
          <w:lang w:eastAsia="zh-CN"/>
        </w:rPr>
      </w:pPr>
      <w:r>
        <w:rPr>
          <w:rFonts w:hint="eastAsia"/>
          <w:lang w:eastAsia="zh-CN"/>
        </w:rPr>
        <w:t>基金投资银行存款的，基金管理人应根据法律法规的规定及基金合同的约定，确定符合条件的所有存款银行的名单，并在基金投资存款之前及时提供给基金托管人，基金托管人应据以对基金投资银行存款的交易对手是否符合有关规定进行监督，如基金管理人未按要求提供存款银行名单，导致基金托管人无法有效履行监督职责，由此造成的损失和责任均由基金管理人承担。</w:t>
      </w:r>
    </w:p>
    <w:p>
      <w:pPr>
        <w:ind w:firstLine="480"/>
        <w:rPr>
          <w:lang w:eastAsia="zh-CN"/>
        </w:rPr>
      </w:pPr>
      <w:r>
        <w:rPr>
          <w:rFonts w:hint="eastAsia"/>
          <w:lang w:eastAsia="zh-CN"/>
        </w:rPr>
        <w:t>本基金投资银行存款应符合如下规定：</w:t>
      </w:r>
    </w:p>
    <w:p>
      <w:pPr>
        <w:ind w:firstLine="480"/>
        <w:rPr>
          <w:lang w:eastAsia="zh-CN"/>
        </w:rPr>
      </w:pPr>
      <w:r>
        <w:rPr>
          <w:rFonts w:hint="eastAsia"/>
          <w:lang w:eastAsia="zh-CN"/>
        </w:rPr>
        <w:t>1．基金管理人与基金托管人应根据相关规定，就本基金投资银行存款另行签订书面协议，</w:t>
      </w:r>
      <w:r>
        <w:rPr>
          <w:rFonts w:hint="eastAsia"/>
          <w:spacing w:val="6"/>
          <w:lang w:eastAsia="zh-CN"/>
        </w:rPr>
        <w:t>明确基金管理人和基金托管人在办理基金投资银行存款业务中的权利义务</w:t>
      </w:r>
      <w:r>
        <w:rPr>
          <w:rFonts w:hint="eastAsia"/>
          <w:lang w:eastAsia="zh-CN"/>
        </w:rPr>
        <w:t>，以确保基金财产的安全，保护基金份额持有人的合法权益。</w:t>
      </w:r>
    </w:p>
    <w:p>
      <w:pPr>
        <w:ind w:firstLine="480"/>
        <w:rPr>
          <w:lang w:eastAsia="zh-CN"/>
        </w:rPr>
      </w:pPr>
      <w:r>
        <w:rPr>
          <w:rFonts w:hint="eastAsia"/>
          <w:lang w:eastAsia="zh-CN"/>
        </w:rPr>
        <w:t>2．基金托管人应加强对基金银行存款业务的监督与核查，严格审查相关协议、账户资料、投资指令、存款证实书等有关文件，切实履行托管职责。</w:t>
      </w:r>
    </w:p>
    <w:p>
      <w:pPr>
        <w:ind w:firstLine="480"/>
        <w:rPr>
          <w:lang w:eastAsia="zh-CN"/>
        </w:rPr>
      </w:pPr>
      <w:r>
        <w:rPr>
          <w:rFonts w:hint="eastAsia"/>
          <w:lang w:eastAsia="zh-CN"/>
        </w:rPr>
        <w:t>3．基金管理人与基金托管人在开展基金存款业务时，应严格遵守《基金法》、《运作办法》等有关法律法规，以及国家有关账户管理、利率管理、支付结算等的各项规定。</w:t>
      </w:r>
    </w:p>
    <w:p>
      <w:pPr>
        <w:ind w:firstLine="480"/>
        <w:rPr>
          <w:lang w:eastAsia="zh-CN"/>
        </w:rPr>
      </w:pPr>
      <w:r>
        <w:rPr>
          <w:rFonts w:hint="eastAsia"/>
          <w:lang w:eastAsia="zh-CN"/>
        </w:rPr>
        <w:t>（六）基金托管人对基金投资流通受限证券的监督</w:t>
      </w:r>
    </w:p>
    <w:p>
      <w:pPr>
        <w:ind w:firstLine="480"/>
        <w:rPr>
          <w:lang w:eastAsia="zh-CN"/>
        </w:rPr>
      </w:pPr>
      <w:r>
        <w:rPr>
          <w:rFonts w:hint="eastAsia"/>
          <w:lang w:eastAsia="zh-CN"/>
        </w:rPr>
        <w:t>1.</w:t>
      </w:r>
      <w:r>
        <w:rPr>
          <w:lang w:eastAsia="zh-CN"/>
        </w:rPr>
        <w:t>基金投资流通受限证券，应遵守《关于基金投资非公开发行股票等流通受限证券有关问题的通知》等有关法律法规规定。</w:t>
      </w:r>
    </w:p>
    <w:p>
      <w:pPr>
        <w:ind w:firstLine="480"/>
        <w:rPr>
          <w:lang w:eastAsia="zh-CN"/>
        </w:rPr>
      </w:pPr>
      <w:r>
        <w:rPr>
          <w:rFonts w:hint="eastAsia"/>
          <w:lang w:eastAsia="zh-CN"/>
        </w:rPr>
        <w:t>2.</w:t>
      </w:r>
      <w:r>
        <w:rPr>
          <w:lang w:eastAsia="zh-CN"/>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pPr>
        <w:ind w:firstLine="480"/>
        <w:rPr>
          <w:lang w:eastAsia="zh-CN"/>
        </w:rPr>
      </w:pPr>
      <w:r>
        <w:rPr>
          <w:rFonts w:hint="eastAsia"/>
          <w:lang w:eastAsia="zh-CN"/>
        </w:rPr>
        <w:t>3.</w:t>
      </w:r>
      <w:r>
        <w:rPr>
          <w:lang w:eastAsia="zh-CN"/>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pPr>
        <w:ind w:firstLine="480"/>
        <w:rPr>
          <w:lang w:eastAsia="zh-CN"/>
        </w:rPr>
      </w:pPr>
      <w:r>
        <w:rPr>
          <w:rFonts w:hint="eastAsia"/>
          <w:lang w:eastAsia="zh-CN"/>
        </w:rPr>
        <w:t>基金管理人应至少于首次执行投资指令之前两个工作日将上述资料书面发至基金托管人，保证基金托管人有足够的时间进行审核。</w:t>
      </w:r>
    </w:p>
    <w:p>
      <w:pPr>
        <w:ind w:firstLine="480"/>
        <w:rPr>
          <w:lang w:eastAsia="zh-CN"/>
        </w:rPr>
      </w:pPr>
      <w:r>
        <w:rPr>
          <w:rFonts w:hint="eastAsia"/>
          <w:lang w:eastAsia="zh-CN"/>
        </w:rPr>
        <w:t>4.</w:t>
      </w:r>
      <w:r>
        <w:rPr>
          <w:lang w:eastAsia="zh-CN"/>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pPr>
        <w:ind w:firstLine="480"/>
        <w:rPr>
          <w:lang w:eastAsia="zh-CN"/>
        </w:rPr>
      </w:pPr>
      <w:r>
        <w:rPr>
          <w:rFonts w:hint="eastAsia"/>
          <w:lang w:eastAsia="zh-CN"/>
        </w:rPr>
        <w:t>5.</w:t>
      </w:r>
      <w:r>
        <w:rPr>
          <w:lang w:eastAsia="zh-CN"/>
        </w:rPr>
        <w:t>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pPr>
        <w:spacing w:after="120"/>
        <w:ind w:firstLine="480" w:firstLineChars="200"/>
        <w:rPr>
          <w:lang w:eastAsia="zh-CN"/>
        </w:rPr>
      </w:pPr>
      <w:r>
        <w:rPr>
          <w:rFonts w:hint="eastAsia"/>
          <w:lang w:eastAsia="zh-CN"/>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pPr>
        <w:ind w:firstLine="480"/>
        <w:rPr>
          <w:lang w:eastAsia="zh-CN"/>
        </w:rPr>
      </w:pPr>
      <w:r>
        <w:rPr>
          <w:rFonts w:hint="eastAsia"/>
          <w:lang w:eastAsia="zh-CN"/>
        </w:rPr>
        <w:t>如果基金管理人未经基金托管人的审核擅自将不实的业绩表现数据印制在宣传推介材料上，则基金托管人对此不承担任何责任，并将在发现后立即报告中国证监会。</w:t>
      </w:r>
    </w:p>
    <w:p>
      <w:pPr>
        <w:ind w:firstLine="480"/>
        <w:rPr>
          <w:lang w:eastAsia="zh-CN"/>
        </w:rPr>
      </w:pPr>
      <w:r>
        <w:rPr>
          <w:rFonts w:hint="eastAsia"/>
          <w:lang w:eastAsia="zh-CN"/>
        </w:rPr>
        <w:t>（八）基金托管人发现基金管理人的上述事项及投资指令或实际投资运作中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w:t>
      </w:r>
      <w:r>
        <w:rPr>
          <w:lang w:eastAsia="zh-CN"/>
        </w:rPr>
        <w:t xml:space="preserve">, </w:t>
      </w:r>
      <w:r>
        <w:rPr>
          <w:rFonts w:hint="eastAsia"/>
          <w:lang w:eastAsia="zh-CN"/>
        </w:rPr>
        <w:t>基金托管人有权随时对通知事项进行复查</w:t>
      </w:r>
      <w:r>
        <w:rPr>
          <w:lang w:eastAsia="zh-CN"/>
        </w:rPr>
        <w:t xml:space="preserve">, </w:t>
      </w:r>
      <w:r>
        <w:rPr>
          <w:rFonts w:hint="eastAsia"/>
          <w:lang w:eastAsia="zh-CN"/>
        </w:rPr>
        <w:t>督促基金管理人改正。基金管理人对基金托管人通知的违规事项未能在上述规定期限内纠正的，基金托管人有权报告中国证监会。</w:t>
      </w:r>
    </w:p>
    <w:p>
      <w:pPr>
        <w:ind w:firstLine="480"/>
        <w:rPr>
          <w:lang w:eastAsia="zh-CN"/>
        </w:rPr>
      </w:pPr>
      <w:r>
        <w:rPr>
          <w:rFonts w:hint="eastAsia"/>
          <w:lang w:eastAsia="zh-CN"/>
        </w:rPr>
        <w:t>基金托管人发现基金管理人的指令违反法律、行政法规和其他有关规定，或者违反基金合同约定的，应当拒绝执行，立即通知基金管理人及时改正。如基金管理人拒绝改正的，基金托管人有权报告中国证监会</w:t>
      </w:r>
    </w:p>
    <w:p>
      <w:pPr>
        <w:ind w:firstLine="480"/>
        <w:rPr>
          <w:lang w:eastAsia="zh-CN"/>
        </w:rPr>
      </w:pPr>
      <w:r>
        <w:rPr>
          <w:rFonts w:hint="eastAsia"/>
          <w:lang w:eastAsia="zh-CN"/>
        </w:rPr>
        <w:t>基金托管人发现基金管理人依据交易程序已经生效的指令违反法律、行政法规和其他有关规定，或者违反基金合同约定的，应当立即通知基金管理人，并及时向中国证监会报告。</w:t>
      </w:r>
    </w:p>
    <w:p>
      <w:pPr>
        <w:ind w:firstLine="480"/>
        <w:rPr>
          <w:lang w:eastAsia="zh-CN"/>
        </w:rPr>
      </w:pPr>
      <w:r>
        <w:rPr>
          <w:rFonts w:hint="eastAsia"/>
          <w:lang w:eastAsia="zh-CN"/>
        </w:rPr>
        <w:t>（九）对基金托管人按照法规要求需向中国证监会报送基金监督报告的事项，基金管理人应积极配合提供相关数据资料和制度等。</w:t>
      </w:r>
    </w:p>
    <w:p>
      <w:pPr>
        <w:ind w:firstLine="480"/>
        <w:rPr>
          <w:lang w:eastAsia="zh-CN"/>
        </w:rPr>
      </w:pPr>
      <w:r>
        <w:rPr>
          <w:rFonts w:hint="eastAsia"/>
          <w:lang w:eastAsia="zh-CN"/>
        </w:rPr>
        <w:t>（十）基金托管人发现基金管理人有重大违法、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pPr>
        <w:ind w:firstLine="480"/>
        <w:rPr>
          <w:lang w:eastAsia="zh-CN"/>
        </w:rPr>
      </w:pPr>
    </w:p>
    <w:p>
      <w:pPr>
        <w:pStyle w:val="2"/>
        <w:rPr>
          <w:lang w:eastAsia="zh-CN"/>
        </w:rPr>
      </w:pPr>
      <w:bookmarkStart w:id="12" w:name="_Toc296541722"/>
      <w:r>
        <w:rPr>
          <w:rFonts w:hint="eastAsia"/>
          <w:lang w:eastAsia="zh-CN"/>
        </w:rPr>
        <w:t>四、基金管理人对基金托管人的业务核查</w:t>
      </w:r>
      <w:bookmarkEnd w:id="12"/>
    </w:p>
    <w:p>
      <w:pPr>
        <w:ind w:firstLine="480"/>
        <w:rPr>
          <w:lang w:eastAsia="zh-CN"/>
        </w:rPr>
      </w:pPr>
      <w:r>
        <w:rPr>
          <w:rFonts w:hint="eastAsia"/>
          <w:lang w:eastAsia="zh-CN"/>
        </w:rPr>
        <w:t>（一）基金管理人对基金托管人履行托管职责情况进行核查，核查事项包括但不限于基金托管人安全保管基金财产、开设基金财产的资金账户、证券账户及投资所需的其他账户，及时、准确复核基金管理人计算的基金资产净值、基金份额净值，根据基金管理人指令办理清算交收且如遇到问题应及时反馈、相关信息披露和监督基金投资运作是否对非公开信息保密等行为。</w:t>
      </w:r>
    </w:p>
    <w:p>
      <w:pPr>
        <w:ind w:firstLine="480"/>
        <w:rPr>
          <w:lang w:eastAsia="zh-CN"/>
        </w:rPr>
      </w:pPr>
      <w:r>
        <w:rPr>
          <w:rFonts w:hint="eastAsia"/>
          <w:lang w:eastAsia="zh-CN"/>
        </w:rPr>
        <w:t>基金管理人定期和不定期地对基金托管人保管的基金资产进行核查。基金托管人应积极配合基金管理人的核查行为，包括但不限于：提交相关资料以供基金管理人核查托管财产的完整性和真实性，在规定时间内答复基金管理人并改正。</w:t>
      </w:r>
    </w:p>
    <w:p>
      <w:pPr>
        <w:ind w:firstLine="480"/>
        <w:rPr>
          <w:lang w:eastAsia="zh-CN"/>
        </w:rPr>
      </w:pPr>
      <w:r>
        <w:rPr>
          <w:rFonts w:hint="eastAsia"/>
          <w:lang w:eastAsia="zh-CN"/>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并保证在规定期限内及时改正。在上述规定期限内，基金管理人有权随时对通知事项进行复查</w:t>
      </w:r>
      <w:r>
        <w:rPr>
          <w:lang w:eastAsia="zh-CN"/>
        </w:rPr>
        <w:t xml:space="preserve">, </w:t>
      </w:r>
      <w:r>
        <w:rPr>
          <w:rFonts w:hint="eastAsia"/>
          <w:lang w:eastAsia="zh-CN"/>
        </w:rPr>
        <w:t>督促基金托管人改正。基金托管人应积极配合基金管理人的核查行为，包括但不限于：提交相关资料以供基金管理人核查托管财产的完整性和真实性，在规定时间内答复基金管理人并改正等。基金管理人有权要求基金托管人赔偿基金因此所遭受的损失。</w:t>
      </w:r>
    </w:p>
    <w:p>
      <w:pPr>
        <w:ind w:firstLine="480"/>
        <w:rPr>
          <w:lang w:eastAsia="zh-CN"/>
        </w:rPr>
      </w:pPr>
      <w:r>
        <w:rPr>
          <w:rFonts w:hint="eastAsia"/>
          <w:lang w:eastAsia="zh-CN"/>
        </w:rPr>
        <w:t>（三）基金管理人发现基金托管人有重大违规行为，应及时报告中国证监会和银行业监督管理机构，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pPr>
        <w:ind w:firstLine="480"/>
        <w:rPr>
          <w:lang w:eastAsia="zh-CN"/>
        </w:rPr>
      </w:pPr>
    </w:p>
    <w:p>
      <w:pPr>
        <w:pStyle w:val="2"/>
        <w:rPr>
          <w:lang w:eastAsia="zh-CN"/>
        </w:rPr>
      </w:pPr>
      <w:bookmarkStart w:id="13" w:name="_Toc296541723"/>
      <w:r>
        <w:rPr>
          <w:rFonts w:hint="eastAsia"/>
          <w:lang w:eastAsia="zh-CN"/>
        </w:rPr>
        <w:t>五、基金财产的保管</w:t>
      </w:r>
      <w:bookmarkEnd w:id="13"/>
    </w:p>
    <w:p>
      <w:pPr>
        <w:ind w:firstLine="480"/>
        <w:rPr>
          <w:lang w:eastAsia="zh-CN"/>
        </w:rPr>
      </w:pPr>
      <w:r>
        <w:rPr>
          <w:rFonts w:hint="eastAsia"/>
          <w:lang w:eastAsia="zh-CN"/>
        </w:rPr>
        <w:t>（一）基金财产保管的原则</w:t>
      </w:r>
    </w:p>
    <w:p>
      <w:pPr>
        <w:ind w:firstLine="480"/>
        <w:rPr>
          <w:lang w:eastAsia="zh-CN"/>
        </w:rPr>
      </w:pPr>
      <w:r>
        <w:rPr>
          <w:lang w:eastAsia="zh-CN"/>
        </w:rPr>
        <w:t>1</w:t>
      </w:r>
      <w:r>
        <w:rPr>
          <w:rFonts w:hint="eastAsia"/>
          <w:lang w:eastAsia="zh-CN"/>
        </w:rPr>
        <w:t>．基金财产应独立于基金管理人、基金托管人的固有财产。</w:t>
      </w:r>
    </w:p>
    <w:p>
      <w:pPr>
        <w:ind w:firstLine="480"/>
        <w:rPr>
          <w:lang w:eastAsia="zh-CN"/>
        </w:rPr>
      </w:pPr>
      <w:r>
        <w:rPr>
          <w:lang w:eastAsia="zh-CN"/>
        </w:rPr>
        <w:t>2</w:t>
      </w:r>
      <w:r>
        <w:rPr>
          <w:rFonts w:hint="eastAsia"/>
          <w:lang w:eastAsia="zh-CN"/>
        </w:rPr>
        <w:t>．基金托管人应安全保管基金财产。未经基金管理人的正当指令，不得自行运用、处分、分配基金的任何财产。如果基金财产在基金托管人保管期间损坏、灭失的，应由该基金托管人承担赔偿责任。</w:t>
      </w:r>
    </w:p>
    <w:p>
      <w:pPr>
        <w:ind w:firstLine="480"/>
        <w:rPr>
          <w:lang w:eastAsia="zh-CN"/>
        </w:rPr>
      </w:pPr>
      <w:r>
        <w:rPr>
          <w:lang w:eastAsia="zh-CN"/>
        </w:rPr>
        <w:t>3</w:t>
      </w:r>
      <w:r>
        <w:rPr>
          <w:rFonts w:hint="eastAsia"/>
          <w:lang w:eastAsia="zh-CN"/>
        </w:rPr>
        <w:t>．基金托管人按照规定开设基金财产的资金账户、证券账户及投资所需的其他账户。</w:t>
      </w:r>
    </w:p>
    <w:p>
      <w:pPr>
        <w:ind w:firstLine="480"/>
        <w:rPr>
          <w:lang w:eastAsia="zh-CN"/>
        </w:rPr>
      </w:pPr>
      <w:r>
        <w:rPr>
          <w:lang w:eastAsia="zh-CN"/>
        </w:rPr>
        <w:t>4</w:t>
      </w:r>
      <w:r>
        <w:rPr>
          <w:rFonts w:hint="eastAsia"/>
          <w:lang w:eastAsia="zh-CN"/>
        </w:rPr>
        <w:t>．基金托管人对所托管的不同基金财产分别设置账户，与基金托管人的其他业务和其他基金的托管业务实行严格的分账管理，确保基金财产的完整与独立。</w:t>
      </w:r>
    </w:p>
    <w:p>
      <w:pPr>
        <w:ind w:firstLine="480"/>
        <w:rPr>
          <w:lang w:eastAsia="zh-CN"/>
        </w:rPr>
      </w:pPr>
      <w:r>
        <w:rPr>
          <w:lang w:eastAsia="zh-CN"/>
        </w:rPr>
        <w:t>5</w:t>
      </w:r>
      <w:r>
        <w:rPr>
          <w:rFonts w:hint="eastAsia"/>
          <w:lang w:eastAsia="zh-CN"/>
        </w:rPr>
        <w:t>．基金托管人根据基金管理人的指令，按照法律法规的规定、基金合同和本协议的约定保管基金财产。</w:t>
      </w:r>
    </w:p>
    <w:p>
      <w:pPr>
        <w:ind w:firstLine="480"/>
        <w:rPr>
          <w:lang w:eastAsia="zh-CN"/>
        </w:rPr>
      </w:pPr>
      <w:r>
        <w:rPr>
          <w:lang w:eastAsia="zh-CN"/>
        </w:rPr>
        <w:t>6</w:t>
      </w:r>
      <w:r>
        <w:rPr>
          <w:rFonts w:hint="eastAsia"/>
          <w:lang w:eastAsia="zh-CN"/>
        </w:rPr>
        <w:t>．对于因为基金投资产生的应收资产和基金认购、申购过程中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的损失，基金托管人对此不承担任何责任。</w:t>
      </w:r>
    </w:p>
    <w:p>
      <w:pPr>
        <w:ind w:firstLine="480"/>
        <w:rPr>
          <w:lang w:eastAsia="zh-CN"/>
        </w:rPr>
      </w:pPr>
      <w:r>
        <w:rPr>
          <w:lang w:eastAsia="zh-CN"/>
        </w:rPr>
        <w:t>7</w:t>
      </w:r>
      <w:r>
        <w:rPr>
          <w:rFonts w:hint="eastAsia"/>
          <w:lang w:eastAsia="zh-CN"/>
        </w:rPr>
        <w:t>．除依据法律法规和基金合同的规定外，基金托管人不得委托第三人托管基金财产。</w:t>
      </w:r>
    </w:p>
    <w:p>
      <w:pPr>
        <w:ind w:firstLine="480"/>
        <w:rPr>
          <w:lang w:eastAsia="zh-CN"/>
        </w:rPr>
      </w:pPr>
      <w:r>
        <w:rPr>
          <w:rFonts w:hint="eastAsia"/>
          <w:lang w:eastAsia="zh-CN"/>
        </w:rPr>
        <w:t>（二）基金募集期间及募集资金的验资</w:t>
      </w:r>
    </w:p>
    <w:p>
      <w:pPr>
        <w:ind w:firstLine="480"/>
        <w:rPr>
          <w:lang w:eastAsia="zh-CN"/>
        </w:rPr>
      </w:pPr>
      <w:r>
        <w:rPr>
          <w:lang w:eastAsia="zh-CN"/>
        </w:rPr>
        <w:t>1</w:t>
      </w:r>
      <w:r>
        <w:rPr>
          <w:rFonts w:hint="eastAsia"/>
          <w:lang w:eastAsia="zh-CN"/>
        </w:rPr>
        <w:t>．基金募集期间募集的资金应存于基金管理人开设的基金募集专户，在基金募集行为结束前</w:t>
      </w:r>
      <w:r>
        <w:rPr>
          <w:lang w:eastAsia="zh-CN"/>
        </w:rPr>
        <w:t>，任何人不得动用。</w:t>
      </w:r>
      <w:r>
        <w:rPr>
          <w:rFonts w:hint="eastAsia"/>
          <w:lang w:eastAsia="zh-CN"/>
        </w:rPr>
        <w:t>有效认购款项在基金募集期内产生的</w:t>
      </w:r>
      <w:r>
        <w:rPr>
          <w:rFonts w:hint="eastAsia"/>
          <w:bCs/>
          <w:lang w:eastAsia="zh-CN"/>
        </w:rPr>
        <w:t>银行同期活期存款</w:t>
      </w:r>
      <w:r>
        <w:rPr>
          <w:rFonts w:hint="eastAsia"/>
          <w:lang w:eastAsia="zh-CN"/>
        </w:rPr>
        <w:t>利息将折合成基金份额，归基金份额持有人所有。基金募集期产生的利息</w:t>
      </w:r>
      <w:r>
        <w:rPr>
          <w:rFonts w:hint="eastAsia"/>
          <w:bCs/>
          <w:lang w:eastAsia="zh-CN"/>
        </w:rPr>
        <w:t>的</w:t>
      </w:r>
      <w:r>
        <w:rPr>
          <w:bCs/>
          <w:lang w:eastAsia="zh-CN"/>
        </w:rPr>
        <w:t>具体金额及利息转份额</w:t>
      </w:r>
      <w:r>
        <w:rPr>
          <w:rFonts w:hint="eastAsia"/>
          <w:bCs/>
          <w:lang w:eastAsia="zh-CN"/>
        </w:rPr>
        <w:t>的</w:t>
      </w:r>
      <w:r>
        <w:rPr>
          <w:bCs/>
          <w:lang w:eastAsia="zh-CN"/>
        </w:rPr>
        <w:t>具体数额</w:t>
      </w:r>
      <w:r>
        <w:rPr>
          <w:rFonts w:hint="eastAsia"/>
          <w:lang w:eastAsia="zh-CN"/>
        </w:rPr>
        <w:t>以登记机构的记录为准。</w:t>
      </w:r>
    </w:p>
    <w:p>
      <w:pPr>
        <w:ind w:firstLine="480"/>
        <w:rPr>
          <w:lang w:eastAsia="zh-CN"/>
        </w:rPr>
      </w:pPr>
      <w:r>
        <w:rPr>
          <w:lang w:eastAsia="zh-CN"/>
        </w:rPr>
        <w:t>2</w:t>
      </w:r>
      <w:r>
        <w:rPr>
          <w:rFonts w:hint="eastAsia"/>
          <w:lang w:eastAsia="zh-CN"/>
        </w:rPr>
        <w:t>．基金募集期满或基金提前结束募集时，发起资金的认购金额、发起资金提供方及其承诺的持有期限符合《基金法》、《运作办法》等有关规定后，基金管理人应将属于基金财产的全部资金划入基金托管人为本基金开立的基金银行账户，基金托管人在收到资金当日出具相关证明文件，基金管理人在规定时间内，聘请具有证券、期货相关业务资格的会计师事务所进行验资，出具验资报告，验资报告中需对基金募集的资金进行确认并对发起资金的持有人及其持有份额进行专门说明。出具的验资报告由参加验资的</w:t>
      </w:r>
      <w:r>
        <w:rPr>
          <w:lang w:eastAsia="zh-CN"/>
        </w:rPr>
        <w:t>2</w:t>
      </w:r>
      <w:r>
        <w:rPr>
          <w:rFonts w:hint="eastAsia"/>
          <w:lang w:eastAsia="zh-CN"/>
        </w:rPr>
        <w:t>名或</w:t>
      </w:r>
      <w:r>
        <w:rPr>
          <w:lang w:eastAsia="zh-CN"/>
        </w:rPr>
        <w:t>2</w:t>
      </w:r>
      <w:r>
        <w:rPr>
          <w:rFonts w:hint="eastAsia"/>
          <w:lang w:eastAsia="zh-CN"/>
        </w:rPr>
        <w:t>名以上中国注册会计师签字方为有效。</w:t>
      </w:r>
    </w:p>
    <w:p>
      <w:pPr>
        <w:ind w:firstLine="480"/>
        <w:rPr>
          <w:lang w:eastAsia="zh-CN"/>
        </w:rPr>
      </w:pPr>
      <w:r>
        <w:rPr>
          <w:lang w:eastAsia="zh-CN"/>
        </w:rPr>
        <w:t>3</w:t>
      </w:r>
      <w:r>
        <w:rPr>
          <w:rFonts w:hint="eastAsia"/>
          <w:lang w:eastAsia="zh-CN"/>
        </w:rPr>
        <w:t>．若基金募集期限届满，未能达到基金合同生效的条件，由基金管理人按规定办理退款等事宜，基金托管人应提供充分协助。</w:t>
      </w:r>
    </w:p>
    <w:p>
      <w:pPr>
        <w:ind w:firstLine="480"/>
        <w:rPr>
          <w:lang w:eastAsia="zh-CN"/>
        </w:rPr>
      </w:pPr>
      <w:r>
        <w:rPr>
          <w:rFonts w:hint="eastAsia"/>
          <w:lang w:eastAsia="zh-CN"/>
        </w:rPr>
        <w:t>（三）基金银行账户的开立和管理</w:t>
      </w:r>
    </w:p>
    <w:p>
      <w:pPr>
        <w:ind w:firstLine="480"/>
        <w:rPr>
          <w:lang w:eastAsia="zh-CN"/>
        </w:rPr>
      </w:pPr>
      <w:r>
        <w:rPr>
          <w:lang w:eastAsia="zh-CN"/>
        </w:rPr>
        <w:t>1</w:t>
      </w:r>
      <w:r>
        <w:rPr>
          <w:rFonts w:hint="eastAsia"/>
          <w:lang w:eastAsia="zh-CN"/>
        </w:rPr>
        <w:t>．基金托管人应负责本基金的银行账户的开设和管理。</w:t>
      </w:r>
    </w:p>
    <w:p>
      <w:pPr>
        <w:ind w:firstLine="480"/>
        <w:rPr>
          <w:lang w:eastAsia="zh-CN"/>
        </w:rPr>
      </w:pPr>
      <w:r>
        <w:rPr>
          <w:lang w:eastAsia="zh-CN"/>
        </w:rPr>
        <w:t>2</w:t>
      </w:r>
      <w:r>
        <w:rPr>
          <w:rFonts w:hint="eastAsia"/>
          <w:lang w:eastAsia="zh-CN"/>
        </w:rPr>
        <w:t>．基金托管人可以本基金的名义在其营业机构开设本基金的银行账户，并根据基金管理人合法合规的指令办理资金收付。本基金的银行预留印鉴由基金托管人保管和使用。本基金的一切货币收支活动，包括但不限于投资、支付赎回金额、支付基金收益、收取申购款，均需通过本基金的银行账户进行。</w:t>
      </w:r>
    </w:p>
    <w:p>
      <w:pPr>
        <w:ind w:firstLine="480"/>
        <w:rPr>
          <w:lang w:eastAsia="zh-CN"/>
        </w:rPr>
      </w:pPr>
      <w:r>
        <w:rPr>
          <w:lang w:eastAsia="zh-CN"/>
        </w:rPr>
        <w:t>3</w:t>
      </w:r>
      <w:r>
        <w:rPr>
          <w:rFonts w:hint="eastAsia"/>
          <w:lang w:eastAsia="zh-CN"/>
        </w:rPr>
        <w:t>．基金银行账户的开立和使用，限于满足开展本基金业务的需要。基金托管人和基金管理人不得假借本基金的名义开立任何其他银行账户；亦不得使用基金的任何账户进行本基金业务以外的活动。</w:t>
      </w:r>
    </w:p>
    <w:p>
      <w:pPr>
        <w:ind w:firstLine="480"/>
        <w:rPr>
          <w:lang w:eastAsia="zh-CN"/>
        </w:rPr>
      </w:pPr>
      <w:r>
        <w:rPr>
          <w:lang w:eastAsia="zh-CN"/>
        </w:rPr>
        <w:t>4</w:t>
      </w:r>
      <w:r>
        <w:rPr>
          <w:rFonts w:hint="eastAsia"/>
          <w:lang w:eastAsia="zh-CN"/>
        </w:rPr>
        <w:t>．基金银行账户的开立和管理应符合相关法律法规的有关规定。</w:t>
      </w:r>
    </w:p>
    <w:p>
      <w:pPr>
        <w:ind w:firstLine="480"/>
        <w:rPr>
          <w:lang w:eastAsia="zh-CN"/>
        </w:rPr>
      </w:pPr>
      <w:r>
        <w:rPr>
          <w:rFonts w:hint="eastAsia"/>
          <w:lang w:eastAsia="zh-CN"/>
        </w:rPr>
        <w:t>（四）基金证券交收账户和结算备付金账户的开立和管理</w:t>
      </w:r>
    </w:p>
    <w:p>
      <w:pPr>
        <w:ind w:firstLine="480"/>
        <w:rPr>
          <w:lang w:eastAsia="zh-CN"/>
        </w:rPr>
      </w:pPr>
      <w:r>
        <w:rPr>
          <w:lang w:eastAsia="zh-CN"/>
        </w:rPr>
        <w:t>1</w:t>
      </w:r>
      <w:r>
        <w:rPr>
          <w:rFonts w:hint="eastAsia"/>
          <w:lang w:eastAsia="zh-CN"/>
        </w:rPr>
        <w:t>．基金托管人在中国证券登记结算有限责任公司上海分公司、深圳分公司为基金开立基金托管人与本基金联名的证券账户，账户名称以实际开立为准。</w:t>
      </w:r>
    </w:p>
    <w:p>
      <w:pPr>
        <w:ind w:firstLine="480"/>
        <w:rPr>
          <w:lang w:eastAsia="zh-CN"/>
        </w:rPr>
      </w:pPr>
      <w:r>
        <w:rPr>
          <w:lang w:eastAsia="zh-CN"/>
        </w:rPr>
        <w:t>2</w:t>
      </w:r>
      <w:r>
        <w:rPr>
          <w:rFonts w:hint="eastAsia"/>
          <w:lang w:eastAsia="zh-CN"/>
        </w:rPr>
        <w:t>．基金证券账户的开立和使用，限于满足开展本基金业务的需要。基金托管人和基金管理人不得出借或未经对方同意擅自转让基金的任何证券账户，亦不得使用基金的任何账户进行本基金业务以外的活动。</w:t>
      </w:r>
    </w:p>
    <w:p>
      <w:pPr>
        <w:ind w:firstLine="480"/>
        <w:rPr>
          <w:lang w:eastAsia="zh-CN"/>
        </w:rPr>
      </w:pPr>
      <w:r>
        <w:rPr>
          <w:lang w:eastAsia="zh-CN"/>
        </w:rPr>
        <w:t>3</w:t>
      </w:r>
      <w:r>
        <w:rPr>
          <w:rFonts w:hint="eastAsia"/>
          <w:lang w:eastAsia="zh-CN"/>
        </w:rPr>
        <w:t>．基金托管人以自身法人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pPr>
        <w:ind w:firstLine="480"/>
        <w:rPr>
          <w:lang w:eastAsia="zh-CN"/>
        </w:rPr>
      </w:pPr>
      <w:r>
        <w:rPr>
          <w:lang w:eastAsia="zh-CN"/>
        </w:rPr>
        <w:t>4</w:t>
      </w:r>
      <w:r>
        <w:rPr>
          <w:rFonts w:hint="eastAsia"/>
          <w:lang w:eastAsia="zh-CN"/>
        </w:rPr>
        <w:t>．基金证券账户的开立由基金托管人负责，账户资产的管理和运用由基金管理人负责。</w:t>
      </w:r>
    </w:p>
    <w:p>
      <w:pPr>
        <w:ind w:firstLine="480"/>
        <w:rPr>
          <w:lang w:eastAsia="zh-CN"/>
        </w:rPr>
      </w:pPr>
      <w:r>
        <w:rPr>
          <w:lang w:eastAsia="zh-CN"/>
        </w:rPr>
        <w:t>5</w:t>
      </w:r>
      <w:r>
        <w:rPr>
          <w:rFonts w:hint="eastAsia"/>
          <w:lang w:eastAsia="zh-CN"/>
        </w:rPr>
        <w:t>．若中国证监会或其他监管机构在本托管协议生效日之后允许基金从事其他投资品种的投资业务，涉及相关账户的开设、使用的，按有关规定开设、使用并管理；若无相关规定，则基金托管人应当比照并遵守上述关于账户开设、使用的规定。</w:t>
      </w:r>
    </w:p>
    <w:p>
      <w:pPr>
        <w:ind w:firstLine="480"/>
        <w:rPr>
          <w:lang w:eastAsia="zh-CN"/>
        </w:rPr>
      </w:pPr>
      <w:r>
        <w:rPr>
          <w:rFonts w:hint="eastAsia"/>
          <w:lang w:eastAsia="zh-CN"/>
        </w:rPr>
        <w:t>（五）债券托管账户的开设和管理</w:t>
      </w:r>
    </w:p>
    <w:p>
      <w:pPr>
        <w:ind w:firstLine="480"/>
        <w:rPr>
          <w:lang w:eastAsia="zh-CN"/>
        </w:rPr>
      </w:pPr>
      <w:r>
        <w:rPr>
          <w:rFonts w:hint="eastAsia"/>
          <w:lang w:eastAsia="zh-CN"/>
        </w:rPr>
        <w:t>基金合同生效后，基金托管人根据中国人民银行、中央国债登记结算有限责任公司、银行间市场清算股份有限公司的有关规定，在中央国债登记结算有限责任公司、银行间市场清算所股份有限公司开立债券托管与结算账户，并代表基金进行银行间市场债券的结算。</w:t>
      </w:r>
    </w:p>
    <w:p>
      <w:pPr>
        <w:ind w:firstLine="480"/>
        <w:rPr>
          <w:lang w:eastAsia="zh-CN"/>
        </w:rPr>
      </w:pPr>
      <w:r>
        <w:rPr>
          <w:rFonts w:hint="eastAsia"/>
          <w:lang w:eastAsia="zh-CN"/>
        </w:rPr>
        <w:t>（六）开放式证券投资基金账户的开立和管理</w:t>
      </w:r>
    </w:p>
    <w:p>
      <w:pPr>
        <w:ind w:firstLine="480"/>
        <w:rPr>
          <w:lang w:eastAsia="zh-CN"/>
        </w:rPr>
      </w:pPr>
      <w:r>
        <w:rPr>
          <w:rFonts w:hint="eastAsia"/>
          <w:lang w:eastAsia="zh-CN"/>
        </w:rPr>
        <w:t>1．基金管理人负责为本基金开立所需的基金账户。</w:t>
      </w:r>
    </w:p>
    <w:p>
      <w:pPr>
        <w:ind w:firstLine="480"/>
        <w:rPr>
          <w:lang w:eastAsia="zh-CN"/>
        </w:rPr>
      </w:pPr>
      <w:r>
        <w:rPr>
          <w:rFonts w:hint="eastAsia"/>
          <w:lang w:eastAsia="zh-CN"/>
        </w:rPr>
        <w:t>2．基金管理人在开立基金账户时应将基金托管人为本基金开立的基金银行账户作为赎回款、分红款指定收款账户。</w:t>
      </w:r>
    </w:p>
    <w:p>
      <w:pPr>
        <w:ind w:firstLine="480"/>
        <w:rPr>
          <w:lang w:eastAsia="zh-CN"/>
        </w:rPr>
      </w:pPr>
      <w:r>
        <w:rPr>
          <w:rFonts w:hint="eastAsia"/>
          <w:lang w:eastAsia="zh-CN"/>
        </w:rPr>
        <w:t>3．基金管理人需及时将基金账户的开户资料（复印件）加盖经授权的基金管理人业务专用章后交付基金托管人。</w:t>
      </w:r>
    </w:p>
    <w:p>
      <w:pPr>
        <w:ind w:firstLine="480"/>
        <w:rPr>
          <w:lang w:eastAsia="zh-CN"/>
        </w:rPr>
      </w:pPr>
      <w:r>
        <w:rPr>
          <w:rFonts w:hint="eastAsia"/>
          <w:lang w:eastAsia="zh-CN"/>
        </w:rPr>
        <w:t>4．在基金托管人收到开户资料前，基金管理人不得利用该账户进行投资活动。</w:t>
      </w:r>
    </w:p>
    <w:p>
      <w:pPr>
        <w:ind w:firstLine="480"/>
        <w:rPr>
          <w:lang w:eastAsia="zh-CN"/>
        </w:rPr>
      </w:pPr>
      <w:r>
        <w:rPr>
          <w:rFonts w:hint="eastAsia"/>
          <w:lang w:eastAsia="zh-CN"/>
        </w:rPr>
        <w:t>5．基金托管人有权随时向基金注册登记人查询该账户资料。基金管理人应于每季度结束后十个工作日内将开放式基金对账单发送给基金托管人。</w:t>
      </w:r>
    </w:p>
    <w:p>
      <w:pPr>
        <w:ind w:firstLine="480"/>
        <w:rPr>
          <w:lang w:eastAsia="zh-CN"/>
        </w:rPr>
      </w:pPr>
      <w:r>
        <w:rPr>
          <w:rFonts w:hint="eastAsia"/>
          <w:lang w:eastAsia="zh-CN"/>
        </w:rPr>
        <w:t>（七）其他账户的开立和管理</w:t>
      </w:r>
    </w:p>
    <w:p>
      <w:pPr>
        <w:ind w:firstLine="480"/>
        <w:rPr>
          <w:lang w:eastAsia="zh-CN"/>
        </w:rPr>
      </w:pPr>
      <w:r>
        <w:rPr>
          <w:lang w:eastAsia="zh-CN"/>
        </w:rPr>
        <w:t>1</w:t>
      </w:r>
      <w:r>
        <w:rPr>
          <w:rFonts w:hint="eastAsia"/>
          <w:lang w:eastAsia="zh-CN"/>
        </w:rPr>
        <w:t>．因业务发展需要而开立的其他账户，可以根据法律法规和基金合同的规定，在基金管理人和基金托管人商议后由基金托管人负责开立。新账户按有关规则使用并管理。</w:t>
      </w:r>
    </w:p>
    <w:p>
      <w:pPr>
        <w:ind w:firstLine="480"/>
        <w:rPr>
          <w:lang w:eastAsia="zh-CN"/>
        </w:rPr>
      </w:pPr>
      <w:r>
        <w:rPr>
          <w:lang w:eastAsia="zh-CN"/>
        </w:rPr>
        <w:t>2</w:t>
      </w:r>
      <w:r>
        <w:rPr>
          <w:rFonts w:hint="eastAsia"/>
          <w:lang w:eastAsia="zh-CN"/>
        </w:rPr>
        <w:t>．法律法规等有关规定对相关账户的开立和管理另有规定的，从其规定办理。</w:t>
      </w:r>
    </w:p>
    <w:p>
      <w:pPr>
        <w:ind w:firstLine="480"/>
        <w:rPr>
          <w:lang w:eastAsia="zh-CN"/>
        </w:rPr>
      </w:pPr>
      <w:r>
        <w:rPr>
          <w:rFonts w:hint="eastAsia"/>
          <w:lang w:eastAsia="zh-CN"/>
        </w:rPr>
        <w:t>（八）基金财产投资的有关有价凭证等的保管</w:t>
      </w:r>
    </w:p>
    <w:p>
      <w:pPr>
        <w:ind w:firstLine="480"/>
        <w:rPr>
          <w:lang w:eastAsia="zh-CN"/>
        </w:rPr>
      </w:pPr>
      <w:r>
        <w:rPr>
          <w:rFonts w:hint="eastAsia"/>
          <w:lang w:eastAsia="zh-CN"/>
        </w:rPr>
        <w:t>基金财产投资的有关实物证券、银行定期存款证实书等有价凭证由基金托管人负责妥善保管，保管凭证由基金托管人持有，其中实物证券由基金托管人存放于托管银行的保管库，应与非本基金的其他实物证券分开保管；也可存入登记结算机构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及其他基金财产不承担保管责任。</w:t>
      </w:r>
    </w:p>
    <w:p>
      <w:pPr>
        <w:ind w:firstLine="480"/>
        <w:rPr>
          <w:lang w:eastAsia="zh-CN"/>
        </w:rPr>
      </w:pPr>
      <w:r>
        <w:rPr>
          <w:rFonts w:hint="eastAsia"/>
          <w:lang w:eastAsia="zh-CN"/>
        </w:rPr>
        <w:t>（九）与基金财产有关的重大合同的保管</w:t>
      </w:r>
    </w:p>
    <w:p>
      <w:pPr>
        <w:ind w:firstLine="480"/>
        <w:rPr>
          <w:lang w:eastAsia="zh-CN"/>
        </w:rPr>
      </w:pPr>
      <w:r>
        <w:rPr>
          <w:rFonts w:hint="eastAsia"/>
          <w:lang w:eastAsia="zh-CN"/>
        </w:rPr>
        <w:t>由基金管理人代表基金签署的、与基金有关的重大合同的原件分别由基金管理人、基金托管人保管，相关业务程序另有限制除外。除协议另有规定外，基金管理人在代表基金签署与基金有关的重大合同时应保证基金一方持有两份以上的正本，以便基金管理人和基金托管人至少各持有一份正本的原件。基金管理人应在重大合同签署后及时以加密方式或双方同意的其他方式将重大合同传真给基金托管人，并在</w:t>
      </w:r>
      <w:r>
        <w:rPr>
          <w:lang w:eastAsia="zh-CN"/>
        </w:rPr>
        <w:t>10</w:t>
      </w:r>
      <w:r>
        <w:rPr>
          <w:rFonts w:hint="eastAsia"/>
          <w:lang w:eastAsia="zh-CN"/>
        </w:rPr>
        <w:t>个工作日内将正本送达基金托管人处。重大合同的保管期限为基金合同终止后</w:t>
      </w:r>
      <w:r>
        <w:rPr>
          <w:lang w:eastAsia="zh-CN"/>
        </w:rPr>
        <w:t>15</w:t>
      </w:r>
      <w:r>
        <w:rPr>
          <w:rFonts w:hint="eastAsia"/>
          <w:lang w:eastAsia="zh-CN"/>
        </w:rPr>
        <w:t>年，</w:t>
      </w:r>
      <w:r>
        <w:rPr>
          <w:lang w:eastAsia="zh-CN"/>
        </w:rPr>
        <w:t>法律法规或监管规则另有规定的，从其规定</w:t>
      </w:r>
      <w:r>
        <w:rPr>
          <w:rFonts w:hint="eastAsia"/>
          <w:lang w:eastAsia="zh-CN"/>
        </w:rPr>
        <w:t>。对于无法取得二份以上的正本的，基金管理人应向基金托管人提供加盖授权业务章的合同传真件，未经双方协商或未在合同约定范围内，合同原件不得转移。</w:t>
      </w:r>
    </w:p>
    <w:p>
      <w:pPr>
        <w:pStyle w:val="2"/>
        <w:rPr>
          <w:lang w:eastAsia="zh-CN"/>
        </w:rPr>
      </w:pPr>
      <w:bookmarkStart w:id="14" w:name="_Toc296541724"/>
      <w:r>
        <w:rPr>
          <w:rFonts w:hint="eastAsia"/>
          <w:lang w:eastAsia="zh-CN"/>
        </w:rPr>
        <w:t>六、指令的发送、确认及执行</w:t>
      </w:r>
      <w:bookmarkEnd w:id="14"/>
    </w:p>
    <w:p>
      <w:pPr>
        <w:ind w:firstLine="480"/>
        <w:rPr>
          <w:lang w:eastAsia="zh-CN"/>
        </w:rPr>
      </w:pPr>
      <w:r>
        <w:rPr>
          <w:rFonts w:hint="eastAsia"/>
          <w:lang w:eastAsia="zh-CN"/>
        </w:rPr>
        <w:t>基金管理人在运用基金财产时向基金托管人发送资金划拨及其他款项收付指令，基金托管人执行基金管理人的投资指令、办理基金名下的资金往来等有关事项。</w:t>
      </w:r>
    </w:p>
    <w:p>
      <w:pPr>
        <w:ind w:firstLine="480"/>
        <w:rPr>
          <w:lang w:eastAsia="zh-CN"/>
        </w:rPr>
      </w:pPr>
      <w:r>
        <w:rPr>
          <w:lang w:eastAsia="zh-CN"/>
        </w:rPr>
        <w:t>基金管理人发送的指令包括电子指令和纸质指令。</w:t>
      </w:r>
    </w:p>
    <w:p>
      <w:pPr>
        <w:ind w:firstLine="480"/>
        <w:rPr>
          <w:lang w:eastAsia="zh-CN"/>
        </w:rPr>
      </w:pPr>
      <w:r>
        <w:rPr>
          <w:lang w:eastAsia="zh-CN"/>
        </w:rPr>
        <w:t>电子指令包括基金管理人发送的电子指令（采用深证通金融数据交换平台发送的电子指令、通过托管网银发送的电子指令）、自动产生的电子指令（</w:t>
      </w:r>
      <w:r>
        <w:rPr>
          <w:rFonts w:hint="eastAsia"/>
          <w:lang w:eastAsia="zh-CN"/>
        </w:rPr>
        <w:t>托管业务系统</w:t>
      </w:r>
      <w:r>
        <w:rPr>
          <w:lang w:eastAsia="zh-CN"/>
        </w:rPr>
        <w:t>通过预先设定的业务规则自动产生的电子指令）。电子指令一经发出即被视为合法有效指令，传真纸质指令作为应急方式备用。基金管理人通过深证通金融数据交换平台</w:t>
      </w:r>
      <w:r>
        <w:rPr>
          <w:rFonts w:hint="eastAsia"/>
          <w:lang w:eastAsia="zh-CN"/>
        </w:rPr>
        <w:t>和托管网银</w:t>
      </w:r>
      <w:r>
        <w:rPr>
          <w:lang w:eastAsia="zh-CN"/>
        </w:rPr>
        <w:t>发送的电子指令，基金托管人根据U</w:t>
      </w:r>
      <w:r>
        <w:rPr>
          <w:rFonts w:hint="eastAsia"/>
          <w:sz w:val="22"/>
          <w:lang w:eastAsia="zh-CN"/>
        </w:rPr>
        <w:t>ser</w:t>
      </w:r>
      <w:r>
        <w:rPr>
          <w:sz w:val="22"/>
          <w:lang w:eastAsia="zh-CN"/>
        </w:rPr>
        <w:t xml:space="preserve"> </w:t>
      </w:r>
      <w:r>
        <w:rPr>
          <w:lang w:eastAsia="zh-CN"/>
        </w:rPr>
        <w:t>ID唯一识别基金管理人身份，基金管理人应妥善保管U</w:t>
      </w:r>
      <w:r>
        <w:rPr>
          <w:rFonts w:hint="eastAsia"/>
          <w:sz w:val="22"/>
          <w:lang w:eastAsia="zh-CN"/>
        </w:rPr>
        <w:t>ser</w:t>
      </w:r>
      <w:r>
        <w:rPr>
          <w:lang w:eastAsia="zh-CN"/>
        </w:rPr>
        <w:t xml:space="preserve"> ID，基金托管人身份识别后对于执行该电子指令造成的任何损失基金托管人不承担责任。</w:t>
      </w:r>
    </w:p>
    <w:p>
      <w:pPr>
        <w:ind w:firstLine="480"/>
        <w:rPr>
          <w:lang w:eastAsia="zh-CN"/>
        </w:rPr>
      </w:pPr>
      <w:r>
        <w:rPr>
          <w:rFonts w:hint="eastAsia"/>
          <w:lang w:eastAsia="zh-CN"/>
        </w:rPr>
        <w:t>（一）基金管理人对发送纸质指令人员的书面授权</w:t>
      </w:r>
    </w:p>
    <w:p>
      <w:pPr>
        <w:ind w:firstLine="480"/>
        <w:rPr>
          <w:lang w:eastAsia="zh-CN"/>
        </w:rPr>
      </w:pPr>
      <w:r>
        <w:rPr>
          <w:lang w:eastAsia="zh-CN"/>
        </w:rPr>
        <w:t>1</w:t>
      </w:r>
      <w:r>
        <w:rPr>
          <w:rFonts w:hint="eastAsia"/>
          <w:lang w:eastAsia="zh-CN"/>
        </w:rPr>
        <w:t>．基金管理人应指定专人向基金托管人发送指令。</w:t>
      </w:r>
    </w:p>
    <w:p>
      <w:pPr>
        <w:ind w:firstLine="480"/>
        <w:rPr>
          <w:lang w:eastAsia="zh-CN"/>
        </w:rPr>
      </w:pPr>
      <w:r>
        <w:rPr>
          <w:lang w:eastAsia="zh-CN"/>
        </w:rPr>
        <w:t>2</w:t>
      </w:r>
      <w:r>
        <w:rPr>
          <w:rFonts w:hint="eastAsia"/>
          <w:lang w:eastAsia="zh-CN"/>
        </w:rPr>
        <w:t>．基金管理人应向基金托管人提供书面授权文件，内容包括被授权人名单、预留印鉴及被授权人签字样本，授权文件应注明被授权人相应的权限。</w:t>
      </w:r>
    </w:p>
    <w:p>
      <w:pPr>
        <w:ind w:firstLine="480"/>
        <w:rPr>
          <w:lang w:eastAsia="zh-CN"/>
        </w:rPr>
      </w:pPr>
      <w:r>
        <w:rPr>
          <w:lang w:eastAsia="zh-CN"/>
        </w:rPr>
        <w:t>3</w:t>
      </w:r>
      <w:r>
        <w:rPr>
          <w:rFonts w:hint="eastAsia"/>
          <w:lang w:eastAsia="zh-CN"/>
        </w:rPr>
        <w:t>．基金托管人在收到授权文件原件并向基金管理人电话确认后，授权文件即生效。</w:t>
      </w:r>
      <w:r>
        <w:rPr>
          <w:rFonts w:hint="eastAsia" w:cs="Arial"/>
          <w:szCs w:val="21"/>
          <w:lang w:eastAsia="zh-CN"/>
        </w:rPr>
        <w:t>如果授权文件中载明具体生效时间的，该生效时间不得早于基金托管人收到授权文件并经电话确认的时点，如早于前述时间，则以基金托管人收到授权文件并经电话确认的时点为授权文件的生效时间。</w:t>
      </w:r>
    </w:p>
    <w:p>
      <w:pPr>
        <w:ind w:firstLine="480"/>
        <w:rPr>
          <w:lang w:eastAsia="zh-CN"/>
        </w:rPr>
      </w:pPr>
      <w:r>
        <w:rPr>
          <w:lang w:eastAsia="zh-CN"/>
        </w:rPr>
        <w:t>4</w:t>
      </w:r>
      <w:r>
        <w:rPr>
          <w:rFonts w:hint="eastAsia"/>
          <w:lang w:eastAsia="zh-CN"/>
        </w:rPr>
        <w:t>．基金管理人和基金托管人对授权文件负有保密义务，其内容不得向被授权人及相关操作人员以外的任何人泄</w:t>
      </w:r>
      <w:r>
        <w:rPr>
          <w:lang w:eastAsia="zh-CN"/>
        </w:rPr>
        <w:t>漏</w:t>
      </w:r>
      <w:r>
        <w:rPr>
          <w:rFonts w:hint="eastAsia"/>
          <w:lang w:eastAsia="zh-CN"/>
        </w:rPr>
        <w:t>，</w:t>
      </w:r>
      <w:r>
        <w:rPr>
          <w:lang w:eastAsia="zh-CN"/>
        </w:rPr>
        <w:t>法律法规另有规定或有权机关另有要求的除外</w:t>
      </w:r>
      <w:r>
        <w:rPr>
          <w:rFonts w:hint="eastAsia"/>
          <w:lang w:eastAsia="zh-CN"/>
        </w:rPr>
        <w:t>。</w:t>
      </w:r>
    </w:p>
    <w:p>
      <w:pPr>
        <w:ind w:firstLine="480"/>
        <w:rPr>
          <w:lang w:eastAsia="zh-CN"/>
        </w:rPr>
      </w:pPr>
      <w:r>
        <w:rPr>
          <w:rFonts w:hint="eastAsia"/>
          <w:lang w:eastAsia="zh-CN"/>
        </w:rPr>
        <w:t>（二）指令的内容</w:t>
      </w:r>
    </w:p>
    <w:p>
      <w:pPr>
        <w:ind w:firstLine="480"/>
        <w:rPr>
          <w:lang w:eastAsia="zh-CN"/>
        </w:rPr>
      </w:pPr>
      <w:r>
        <w:rPr>
          <w:lang w:eastAsia="zh-CN"/>
        </w:rPr>
        <w:t>1</w:t>
      </w:r>
      <w:r>
        <w:rPr>
          <w:rFonts w:hint="eastAsia"/>
          <w:lang w:eastAsia="zh-CN"/>
        </w:rPr>
        <w:t>．指令包括赎回、分红付款指令、回购到期付款指令、与投资有关的付款指令以及其他资金划拨指令等。</w:t>
      </w:r>
    </w:p>
    <w:p>
      <w:pPr>
        <w:ind w:firstLine="480"/>
        <w:rPr>
          <w:lang w:eastAsia="zh-CN"/>
        </w:rPr>
      </w:pPr>
      <w:r>
        <w:rPr>
          <w:lang w:eastAsia="zh-CN"/>
        </w:rPr>
        <w:t>2</w:t>
      </w:r>
      <w:r>
        <w:rPr>
          <w:rFonts w:hint="eastAsia"/>
          <w:lang w:eastAsia="zh-CN"/>
        </w:rPr>
        <w:t>．基金管理人发给基金托管人的指令应写明款项事由、支付时间、到账时间、金额、账户信息（含收款行大额支付行号）等，纸质指令还需加盖预留印鉴并由被授权人签字。</w:t>
      </w:r>
    </w:p>
    <w:p>
      <w:pPr>
        <w:ind w:firstLine="480"/>
        <w:rPr>
          <w:lang w:eastAsia="zh-CN"/>
        </w:rPr>
      </w:pPr>
      <w:r>
        <w:rPr>
          <w:rFonts w:hint="eastAsia"/>
          <w:lang w:eastAsia="zh-CN"/>
        </w:rPr>
        <w:t>（三）指令的发送、确认及执行的时间和程序</w:t>
      </w:r>
    </w:p>
    <w:p>
      <w:pPr>
        <w:ind w:firstLine="480"/>
        <w:rPr>
          <w:lang w:eastAsia="zh-CN"/>
        </w:rPr>
      </w:pPr>
      <w:r>
        <w:rPr>
          <w:lang w:eastAsia="zh-CN"/>
        </w:rPr>
        <w:t>1</w:t>
      </w:r>
      <w:r>
        <w:rPr>
          <w:rFonts w:hint="eastAsia"/>
          <w:lang w:eastAsia="zh-CN"/>
        </w:rPr>
        <w:t>．指令的发送</w:t>
      </w:r>
    </w:p>
    <w:p>
      <w:pPr>
        <w:ind w:firstLine="480"/>
        <w:rPr>
          <w:lang w:eastAsia="zh-CN"/>
        </w:rPr>
      </w:pPr>
      <w:r>
        <w:rPr>
          <w:rFonts w:hint="eastAsia"/>
          <w:lang w:eastAsia="zh-CN"/>
        </w:rPr>
        <w:t>基金管理人发送指令应采用电子指令、传真方式或其他基金管理人和基金托管人双方书面共同确认的方式。</w:t>
      </w:r>
    </w:p>
    <w:p>
      <w:pPr>
        <w:ind w:firstLine="480"/>
        <w:rPr>
          <w:lang w:eastAsia="zh-CN"/>
        </w:rPr>
      </w:pPr>
      <w:r>
        <w:rPr>
          <w:rFonts w:hint="eastAsia"/>
          <w:lang w:eastAsia="zh-CN"/>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基金托管人根据本协议确认后，则对于此后该交易指令发送人员无权发送的指令，或超权限发送的指令，基金管理人不承担责任，授权已更改但未通知基金托管人及未经基金托管人确认的情况除外。</w:t>
      </w:r>
    </w:p>
    <w:p>
      <w:pPr>
        <w:ind w:firstLine="480"/>
        <w:rPr>
          <w:lang w:eastAsia="zh-CN"/>
        </w:rPr>
      </w:pPr>
      <w:r>
        <w:rPr>
          <w:rFonts w:hint="eastAsia"/>
          <w:lang w:eastAsia="zh-CN"/>
        </w:rPr>
        <w:t>指令发出后，基金管理人应及时以电话方式向基金托管人确认。</w:t>
      </w:r>
    </w:p>
    <w:p>
      <w:pPr>
        <w:ind w:firstLine="480"/>
        <w:rPr>
          <w:lang w:eastAsia="zh-CN"/>
        </w:rPr>
      </w:pPr>
      <w:r>
        <w:rPr>
          <w:rFonts w:hint="eastAsia"/>
          <w:lang w:eastAsia="zh-CN"/>
        </w:rPr>
        <w:t>对于银行间同业市场债券交易，如果银行间簿记系统已经生成的交易需要取消或终止，基金管理人应书面通知基金托管人。</w:t>
      </w:r>
    </w:p>
    <w:p>
      <w:pPr>
        <w:ind w:firstLine="480"/>
        <w:rPr>
          <w:lang w:eastAsia="zh-CN"/>
        </w:rPr>
      </w:pPr>
      <w:r>
        <w:rPr>
          <w:rFonts w:hint="eastAsia"/>
          <w:lang w:eastAsia="zh-CN"/>
        </w:rPr>
        <w:t>基金管理人应于划款前一日向基金托管人发送投资划款指令并电话确认，如需划款当日下达投资划款指令，在发送指令时，应为基金托管人留出执行指令所必需的时间</w:t>
      </w:r>
      <w:r>
        <w:rPr>
          <w:lang w:eastAsia="zh-CN"/>
        </w:rPr>
        <w:t xml:space="preserve">, </w:t>
      </w:r>
      <w:r>
        <w:rPr>
          <w:rFonts w:hint="eastAsia"/>
          <w:lang w:eastAsia="zh-CN"/>
        </w:rPr>
        <w:t>指令一般应在指定到账时点前</w:t>
      </w:r>
      <w:r>
        <w:rPr>
          <w:lang w:eastAsia="zh-CN"/>
        </w:rPr>
        <w:t>2</w:t>
      </w:r>
      <w:r>
        <w:rPr>
          <w:rFonts w:hint="eastAsia"/>
          <w:lang w:eastAsia="zh-CN"/>
        </w:rPr>
        <w:t>个工作小时发送（</w:t>
      </w:r>
      <w:r>
        <w:rPr>
          <w:lang w:eastAsia="zh-CN"/>
        </w:rPr>
        <w:t>T</w:t>
      </w:r>
      <w:r>
        <w:rPr>
          <w:rFonts w:hint="eastAsia"/>
          <w:lang w:eastAsia="zh-CN"/>
        </w:rPr>
        <w:t>＋</w:t>
      </w:r>
      <w:r>
        <w:rPr>
          <w:lang w:eastAsia="zh-CN"/>
        </w:rPr>
        <w:t>0</w:t>
      </w:r>
      <w:r>
        <w:rPr>
          <w:rFonts w:hint="eastAsia"/>
          <w:lang w:eastAsia="zh-CN"/>
        </w:rPr>
        <w:t>交收的指令发送截止时间为当日</w:t>
      </w:r>
      <w:r>
        <w:rPr>
          <w:lang w:eastAsia="zh-CN"/>
        </w:rPr>
        <w:t>15:00</w:t>
      </w:r>
      <w:r>
        <w:rPr>
          <w:rFonts w:hint="eastAsia"/>
          <w:lang w:eastAsia="zh-CN"/>
        </w:rPr>
        <w:t>），并进行电话确认。</w:t>
      </w:r>
      <w:r>
        <w:rPr>
          <w:rFonts w:hint="eastAsia"/>
          <w:color w:val="000000"/>
          <w:lang w:eastAsia="zh-CN"/>
        </w:rPr>
        <w:t>对于在上交所固定收益平台和在深交所综合协议交易平台交易的、实行“实时逐笔全额结算”和“</w:t>
      </w:r>
      <w:r>
        <w:rPr>
          <w:color w:val="000000"/>
          <w:lang w:eastAsia="zh-CN"/>
        </w:rPr>
        <w:t>T+0</w:t>
      </w:r>
      <w:r>
        <w:rPr>
          <w:rFonts w:hint="eastAsia"/>
          <w:color w:val="000000"/>
          <w:lang w:eastAsia="zh-CN"/>
        </w:rPr>
        <w:t>逐笔全额非担保交收的业务，基金管理人应在交易日</w:t>
      </w:r>
      <w:r>
        <w:rPr>
          <w:color w:val="000000"/>
          <w:lang w:eastAsia="zh-CN"/>
        </w:rPr>
        <w:t>14</w:t>
      </w:r>
      <w:r>
        <w:rPr>
          <w:rFonts w:hint="eastAsia"/>
          <w:color w:val="000000"/>
          <w:lang w:eastAsia="zh-CN"/>
        </w:rPr>
        <w:t>：</w:t>
      </w:r>
      <w:r>
        <w:rPr>
          <w:color w:val="000000"/>
          <w:lang w:eastAsia="zh-CN"/>
        </w:rPr>
        <w:t>00</w:t>
      </w:r>
      <w:r>
        <w:rPr>
          <w:rFonts w:hint="eastAsia"/>
          <w:color w:val="000000"/>
          <w:lang w:eastAsia="zh-CN"/>
        </w:rPr>
        <w:t>前将划款指令发送至基金托管人，对于基金管理人在指令发送截止时点之后发送的指令，基金托管人不保证当日执行完毕并不承担责任。</w:t>
      </w:r>
      <w:r>
        <w:rPr>
          <w:rFonts w:hint="eastAsia"/>
          <w:lang w:eastAsia="zh-CN"/>
        </w:rPr>
        <w:t>由于基金管理人的原因造成指令传输不及时、未能留出足够的划款时间，致使资金未能及时到账所造成的损失不由基金托管人承担。</w:t>
      </w:r>
    </w:p>
    <w:p>
      <w:pPr>
        <w:ind w:firstLine="480"/>
        <w:rPr>
          <w:lang w:eastAsia="zh-CN"/>
        </w:rPr>
      </w:pPr>
      <w:r>
        <w:rPr>
          <w:lang w:eastAsia="zh-CN"/>
        </w:rPr>
        <w:t>2</w:t>
      </w:r>
      <w:r>
        <w:rPr>
          <w:rFonts w:hint="eastAsia"/>
          <w:lang w:eastAsia="zh-CN"/>
        </w:rPr>
        <w:t>．指令的确认</w:t>
      </w:r>
    </w:p>
    <w:p>
      <w:pPr>
        <w:ind w:firstLine="480"/>
        <w:rPr>
          <w:lang w:eastAsia="zh-CN"/>
        </w:rPr>
      </w:pPr>
      <w:r>
        <w:rPr>
          <w:rFonts w:hint="eastAsia"/>
          <w:lang w:eastAsia="zh-CN"/>
        </w:rPr>
        <w:t>基金托管人应指定专人接收基金管理人的指令，预先通知基金管理人其名单，并与基金管理人商定指令发送和接收方式。指令到达基金托管人后，基金托管人应指定专人立即审慎验证有关内容，纸质指令还需验证印鉴和签名，如有疑问必须及时通知基金管理人。基金托管人对划款指令仅进行形式审核。</w:t>
      </w:r>
    </w:p>
    <w:p>
      <w:pPr>
        <w:ind w:firstLine="480"/>
        <w:rPr>
          <w:lang w:eastAsia="zh-CN"/>
        </w:rPr>
      </w:pPr>
      <w:r>
        <w:rPr>
          <w:lang w:eastAsia="zh-CN"/>
        </w:rPr>
        <w:t>3</w:t>
      </w:r>
      <w:r>
        <w:rPr>
          <w:rFonts w:hint="eastAsia"/>
          <w:lang w:eastAsia="zh-CN"/>
        </w:rPr>
        <w:t>．指令的执行</w:t>
      </w:r>
    </w:p>
    <w:p>
      <w:pPr>
        <w:ind w:firstLine="480"/>
        <w:rPr>
          <w:lang w:eastAsia="zh-CN"/>
        </w:rPr>
      </w:pPr>
      <w:r>
        <w:rPr>
          <w:rFonts w:hint="eastAsia"/>
          <w:lang w:eastAsia="zh-CN"/>
        </w:rPr>
        <w:t>基金托管人对指令验证后，应及时办理。</w:t>
      </w:r>
    </w:p>
    <w:p>
      <w:pPr>
        <w:ind w:firstLine="480"/>
        <w:rPr>
          <w:lang w:eastAsia="zh-CN"/>
        </w:rPr>
      </w:pPr>
      <w:r>
        <w:rPr>
          <w:rFonts w:hint="eastAsia"/>
          <w:lang w:eastAsia="zh-CN"/>
        </w:rPr>
        <w:t>基金管理人应确保基金托管人在执行指令时基金资金账户有足够的资金余额，在基金资金头寸充足的情况下，基金托管人对基金管理人符合法律法规、基金合同和本协议的指令不得拖延或延迟执行。如基金资金头寸不足，基金托管人立即通知基金管理人，基金管理人应补足资金并通知基金托管人继续执行该指令，如基金管理人补足资金后预留的指令执行时间不足，或者基金管理人补足资金后未通知基金托管人继续执行指令，基金托管人</w:t>
      </w:r>
      <w:r>
        <w:rPr>
          <w:rFonts w:hint="eastAsia"/>
          <w:color w:val="000000"/>
          <w:lang w:eastAsia="zh-CN"/>
        </w:rPr>
        <w:t>不保证当日执行完毕并不承担责任；</w:t>
      </w:r>
      <w:r>
        <w:rPr>
          <w:rFonts w:hint="eastAsia"/>
          <w:lang w:eastAsia="zh-CN"/>
        </w:rPr>
        <w:t>如基金管理人未补足资金，基金托管人可不予执行该指令，基金托管人不承担因未执行该指令造成损失的责任。特别地，对于已达成的非RTGS T+0场内交易，账户余额充足时，基金托管人可根据中国证券</w:t>
      </w:r>
      <w:r>
        <w:rPr>
          <w:lang w:eastAsia="zh-CN"/>
        </w:rPr>
        <w:t>登记</w:t>
      </w:r>
      <w:r>
        <w:rPr>
          <w:rFonts w:hint="eastAsia"/>
          <w:lang w:eastAsia="zh-CN"/>
        </w:rPr>
        <w:t>结算</w:t>
      </w:r>
      <w:r>
        <w:rPr>
          <w:lang w:eastAsia="zh-CN"/>
        </w:rPr>
        <w:t>有限责任公司</w:t>
      </w:r>
      <w:r>
        <w:rPr>
          <w:rFonts w:hint="eastAsia"/>
          <w:lang w:eastAsia="zh-CN"/>
        </w:rPr>
        <w:t>数据直接处理，无需基金管理人出具划款指令，若账户余额不足，则基金管理人需在当日16：00之前补足资金，否则造成基金托管人或基金托管人托管的其他资产损失的，由基金管理人承担赔偿责任。</w:t>
      </w:r>
    </w:p>
    <w:p>
      <w:pPr>
        <w:ind w:firstLine="480"/>
        <w:rPr>
          <w:lang w:eastAsia="zh-CN"/>
        </w:rPr>
      </w:pPr>
      <w:r>
        <w:rPr>
          <w:rFonts w:hint="eastAsia"/>
          <w:lang w:eastAsia="zh-CN"/>
        </w:rPr>
        <w:t>（四）基金管理人发送错误指令的情形和处理程序</w:t>
      </w:r>
    </w:p>
    <w:p>
      <w:pPr>
        <w:ind w:firstLine="480"/>
        <w:rPr>
          <w:lang w:eastAsia="zh-CN"/>
        </w:rPr>
      </w:pPr>
      <w:r>
        <w:rPr>
          <w:rFonts w:hint="eastAsia"/>
          <w:lang w:eastAsia="zh-CN"/>
        </w:rPr>
        <w:t>基金管理人发送错误指令的情形包括指令发送人员无权或超越权限发送指令及交割信息错误，指令中重要信息模糊不清或不全等。</w:t>
      </w:r>
    </w:p>
    <w:p>
      <w:pPr>
        <w:ind w:firstLine="480"/>
        <w:rPr>
          <w:lang w:eastAsia="zh-CN"/>
        </w:rPr>
      </w:pPr>
      <w:r>
        <w:rPr>
          <w:rFonts w:hint="eastAsia"/>
          <w:lang w:eastAsia="zh-CN"/>
        </w:rPr>
        <w:t>基金托管人发现指令错误，有权拒绝执行，并及时提示基金管理人改正后再予以执行。如需撤销纸质指令，基金管理人应出具书面说明，并加盖业务用章。</w:t>
      </w:r>
    </w:p>
    <w:p>
      <w:pPr>
        <w:ind w:firstLine="480"/>
        <w:rPr>
          <w:lang w:eastAsia="zh-CN"/>
        </w:rPr>
      </w:pPr>
      <w:r>
        <w:rPr>
          <w:rFonts w:hint="eastAsia"/>
          <w:lang w:eastAsia="zh-CN"/>
        </w:rPr>
        <w:t>（五）基金托管人依照法律法规暂缓、拒绝执行指令的情形和处理程序</w:t>
      </w:r>
    </w:p>
    <w:p>
      <w:pPr>
        <w:ind w:firstLine="480"/>
        <w:rPr>
          <w:lang w:eastAsia="zh-CN"/>
        </w:rPr>
      </w:pPr>
      <w:r>
        <w:rPr>
          <w:rFonts w:hint="eastAsia"/>
          <w:lang w:eastAsia="zh-CN"/>
        </w:rPr>
        <w:t>若基金托管人发现基金管理人的指令违反法律、行政法规和其他有关规定，或者违反基金合同约定的，应当视情况</w:t>
      </w:r>
      <w:r>
        <w:rPr>
          <w:lang w:eastAsia="zh-CN"/>
        </w:rPr>
        <w:t>暂缓或</w:t>
      </w:r>
      <w:r>
        <w:rPr>
          <w:rFonts w:hint="eastAsia"/>
          <w:lang w:eastAsia="zh-CN"/>
        </w:rPr>
        <w:t>拒绝执行，并立即通知基金管理人。</w:t>
      </w:r>
    </w:p>
    <w:p>
      <w:pPr>
        <w:ind w:firstLine="480"/>
        <w:rPr>
          <w:lang w:eastAsia="zh-CN"/>
        </w:rPr>
      </w:pPr>
      <w:r>
        <w:rPr>
          <w:rFonts w:hint="eastAsia"/>
          <w:lang w:eastAsia="zh-CN"/>
        </w:rPr>
        <w:t>若基金托管人发现基金管理人依据交易程序已经生效的指令违反法律、行政法规和其他有关规定，或者违反基金合同约定的，应当立即通知基金管理人。</w:t>
      </w:r>
    </w:p>
    <w:p>
      <w:pPr>
        <w:ind w:firstLine="480"/>
        <w:rPr>
          <w:lang w:eastAsia="zh-CN"/>
        </w:rPr>
      </w:pPr>
      <w:r>
        <w:rPr>
          <w:rFonts w:hint="eastAsia"/>
          <w:lang w:eastAsia="zh-CN"/>
        </w:rPr>
        <w:t>（六）基金托管人未按照基金管理人指令执行的处理方法</w:t>
      </w:r>
    </w:p>
    <w:p>
      <w:pPr>
        <w:ind w:firstLine="480"/>
        <w:rPr>
          <w:lang w:eastAsia="zh-CN"/>
        </w:rPr>
      </w:pPr>
      <w:r>
        <w:rPr>
          <w:rFonts w:hint="eastAsia"/>
          <w:lang w:eastAsia="zh-CN"/>
        </w:rPr>
        <w:t>基金托管人由于未能执行或错误执行基金管理人指令致使本基金的利益受到损害，应在发现后，及时采取措施予以弥补，给基金份额持有人造成损失的，基金托管人应依法承担相应的责任。</w:t>
      </w:r>
    </w:p>
    <w:p>
      <w:pPr>
        <w:ind w:firstLine="480"/>
        <w:rPr>
          <w:lang w:eastAsia="zh-CN"/>
        </w:rPr>
      </w:pPr>
      <w:r>
        <w:rPr>
          <w:rFonts w:hint="eastAsia"/>
          <w:lang w:eastAsia="zh-CN"/>
        </w:rPr>
        <w:t>（七）更换被授权人员的程序</w:t>
      </w:r>
    </w:p>
    <w:p>
      <w:pPr>
        <w:ind w:firstLine="480"/>
        <w:rPr>
          <w:lang w:eastAsia="zh-CN"/>
        </w:rPr>
      </w:pPr>
      <w:r>
        <w:rPr>
          <w:rFonts w:hint="eastAsia"/>
          <w:lang w:eastAsia="zh-CN"/>
        </w:rPr>
        <w:t>基金管理人更换被授权人、更改或终止对被授权人的授权，应当至少提前一个工作日通知基金托管人，同时基金管理人向基金托管人传真新的被授权人的姓名、权限、预留印鉴和签字样本，并及时通过电话确认，确保基金托管人收到后，授权文件即生效。基金管理人在此后三个工作日内将授权变更通知原件寄送至基金托管人，原件内容应与传真件内容完全一致，若有不一致的，以传真件为准。</w:t>
      </w:r>
    </w:p>
    <w:p>
      <w:pPr>
        <w:ind w:firstLine="480"/>
        <w:rPr>
          <w:lang w:eastAsia="zh-CN"/>
        </w:rPr>
      </w:pPr>
      <w:r>
        <w:rPr>
          <w:rFonts w:hint="eastAsia"/>
          <w:lang w:eastAsia="zh-CN"/>
        </w:rPr>
        <w:t>被授权人变更通知生效前，基金托管人仍应按原约定执行指令，基金管理人不得否认其效力。</w:t>
      </w:r>
    </w:p>
    <w:p>
      <w:pPr>
        <w:ind w:firstLine="480"/>
        <w:rPr>
          <w:lang w:eastAsia="zh-CN"/>
        </w:rPr>
      </w:pPr>
      <w:r>
        <w:rPr>
          <w:rFonts w:hint="eastAsia"/>
          <w:lang w:eastAsia="zh-CN"/>
        </w:rPr>
        <w:t>基金托管人更换接收基金管理人指令的人员，应至少提前一个工作日及时通知基金管理人。</w:t>
      </w:r>
    </w:p>
    <w:p>
      <w:pPr>
        <w:ind w:firstLine="480"/>
        <w:rPr>
          <w:lang w:eastAsia="zh-CN"/>
        </w:rPr>
      </w:pPr>
      <w:r>
        <w:rPr>
          <w:rFonts w:hint="eastAsia"/>
          <w:lang w:eastAsia="zh-CN"/>
        </w:rPr>
        <w:t>（八）其他事项</w:t>
      </w:r>
    </w:p>
    <w:p>
      <w:pPr>
        <w:ind w:firstLine="480"/>
        <w:rPr>
          <w:lang w:eastAsia="zh-CN"/>
        </w:rPr>
      </w:pPr>
      <w:r>
        <w:rPr>
          <w:lang w:eastAsia="zh-CN"/>
        </w:rPr>
        <w:t>1</w:t>
      </w:r>
      <w:r>
        <w:rPr>
          <w:rFonts w:hint="eastAsia"/>
          <w:lang w:eastAsia="zh-CN"/>
        </w:rPr>
        <w:t>．基金托管人在接收指令时，应对指令的要素是否齐全、印鉴与被授权人是否与预留的授权文件内容相符进行检查，如发现问题，应及时报告基金管理人。</w:t>
      </w:r>
    </w:p>
    <w:p>
      <w:pPr>
        <w:ind w:firstLine="480"/>
        <w:rPr>
          <w:lang w:eastAsia="zh-CN"/>
        </w:rPr>
      </w:pPr>
      <w:r>
        <w:rPr>
          <w:rFonts w:hint="eastAsia"/>
          <w:lang w:eastAsia="zh-CN"/>
        </w:rPr>
        <w:t>如果基金管理人已经撤销或更改对指令发送人员的授权，并且已通知基金托管人并经基金托管人电话确认，则对于在变更通知的启用日期后该指令发送人员无权发送的指令，或超权限发送的指令，基金管理人不承担责任。</w:t>
      </w:r>
    </w:p>
    <w:p>
      <w:pPr>
        <w:ind w:firstLine="480"/>
        <w:rPr>
          <w:lang w:eastAsia="zh-CN"/>
        </w:rPr>
      </w:pPr>
      <w:r>
        <w:rPr>
          <w:lang w:eastAsia="zh-CN"/>
        </w:rPr>
        <w:t>2</w:t>
      </w:r>
      <w:r>
        <w:rPr>
          <w:rFonts w:hint="eastAsia"/>
          <w:lang w:eastAsia="zh-CN"/>
        </w:rPr>
        <w:t>．基金托管人在履行监督责任后，对执行基金管理人的合法指令对基金财产造成的损失不承担赔偿责任。</w:t>
      </w:r>
    </w:p>
    <w:p>
      <w:pPr>
        <w:ind w:firstLine="480"/>
        <w:rPr>
          <w:lang w:eastAsia="zh-CN"/>
        </w:rPr>
      </w:pPr>
    </w:p>
    <w:p>
      <w:pPr>
        <w:pStyle w:val="2"/>
        <w:rPr>
          <w:lang w:eastAsia="zh-CN"/>
        </w:rPr>
      </w:pPr>
      <w:bookmarkStart w:id="15" w:name="_Toc296541725"/>
      <w:r>
        <w:rPr>
          <w:rFonts w:hint="eastAsia"/>
          <w:lang w:eastAsia="zh-CN"/>
        </w:rPr>
        <w:t>七、交易及清算交收安排</w:t>
      </w:r>
      <w:bookmarkEnd w:id="15"/>
    </w:p>
    <w:p>
      <w:pPr>
        <w:ind w:firstLine="480"/>
        <w:rPr>
          <w:lang w:eastAsia="zh-CN"/>
        </w:rPr>
      </w:pPr>
      <w:r>
        <w:rPr>
          <w:rFonts w:hint="eastAsia"/>
          <w:lang w:eastAsia="zh-CN"/>
        </w:rPr>
        <w:t>（一）选择代理证券买卖的证券经营机构</w:t>
      </w:r>
    </w:p>
    <w:p>
      <w:pPr>
        <w:ind w:firstLine="480"/>
        <w:rPr>
          <w:lang w:eastAsia="zh-CN"/>
        </w:rPr>
      </w:pPr>
      <w:r>
        <w:rPr>
          <w:rFonts w:hint="eastAsia"/>
          <w:lang w:eastAsia="zh-CN"/>
        </w:rPr>
        <w:t>基金管理人应设计选择代理证券买卖的证券经营机构的标准和程序。基金管理人负责选择代理本基金证券买卖的证券经营机构，使用其交易单元作为基金的专用交易单元。</w:t>
      </w:r>
    </w:p>
    <w:p>
      <w:pPr>
        <w:ind w:firstLine="480"/>
        <w:rPr>
          <w:szCs w:val="21"/>
          <w:lang w:eastAsia="zh-CN"/>
        </w:rPr>
      </w:pPr>
      <w:r>
        <w:rPr>
          <w:rFonts w:hint="eastAsia"/>
          <w:lang w:eastAsia="zh-CN"/>
        </w:rPr>
        <w:t>基金管理人和被选中的证券经营机构签订《交易单元租用协议》，由基金管理人提前通知基金托管人，并将《交易单元租用协议》及时送达基金托管人，确保基金托管人申请接收结算数据。交易单元保证金由被选中的证券经营机构交付。基金管理人应根据有关规定对交易单元的使用情况予以披露，并将该等情况及基金专用单元号、佣金费率等基金基本信息以及变更情况及时以书面形式通知基金托管人。</w:t>
      </w:r>
    </w:p>
    <w:p>
      <w:pPr>
        <w:ind w:firstLine="480"/>
        <w:rPr>
          <w:lang w:eastAsia="zh-CN"/>
        </w:rPr>
      </w:pPr>
      <w:r>
        <w:rPr>
          <w:rFonts w:hint="eastAsia"/>
          <w:lang w:eastAsia="zh-CN"/>
        </w:rPr>
        <w:t>因相关法律法规或交易规则的修改带来的变化以届时有效的法律法规和相关交易规则为准。</w:t>
      </w:r>
    </w:p>
    <w:p>
      <w:pPr>
        <w:ind w:firstLine="480"/>
        <w:rPr>
          <w:lang w:eastAsia="zh-CN"/>
        </w:rPr>
      </w:pPr>
      <w:r>
        <w:rPr>
          <w:rFonts w:hint="eastAsia"/>
          <w:lang w:eastAsia="zh-CN"/>
        </w:rPr>
        <w:t>（二）基金投资证券后的清算交收安排</w:t>
      </w:r>
    </w:p>
    <w:p>
      <w:pPr>
        <w:ind w:firstLine="480"/>
        <w:rPr>
          <w:lang w:eastAsia="zh-CN"/>
        </w:rPr>
      </w:pPr>
      <w:r>
        <w:rPr>
          <w:lang w:eastAsia="zh-CN"/>
        </w:rPr>
        <w:t>1</w:t>
      </w:r>
      <w:r>
        <w:rPr>
          <w:rFonts w:hint="eastAsia"/>
          <w:lang w:eastAsia="zh-CN"/>
        </w:rPr>
        <w:t>．清算与交割</w:t>
      </w:r>
    </w:p>
    <w:p>
      <w:pPr>
        <w:ind w:firstLine="480"/>
        <w:rPr>
          <w:lang w:eastAsia="zh-CN"/>
        </w:rPr>
      </w:pPr>
      <w:r>
        <w:rPr>
          <w:rFonts w:hint="eastAsia"/>
          <w:lang w:eastAsia="zh-CN"/>
        </w:rPr>
        <w:t>根据《中国证券登记结算有限责任公司结算备付金管理办法》和《证券结算保证金管理办法》，在每月前</w:t>
      </w:r>
      <w:r>
        <w:rPr>
          <w:lang w:eastAsia="zh-CN"/>
        </w:rPr>
        <w:t>3</w:t>
      </w:r>
      <w:r>
        <w:rPr>
          <w:rFonts w:hint="eastAsia"/>
          <w:lang w:eastAsia="zh-CN"/>
        </w:rPr>
        <w:t>个工作日内，中国证券登记结算有限责任公司（以下简称“中国证券登记结算公司”）对结算参与人的最低结算备付金和结算保证金限额进行重新核算、调整。基金托管人在中国证券登记结算公司调整最低结算备付金和结算保证金当日，在资金调节表中反映调整后的最低备付金和结算保证金。基金管理人应预留最低备付金和结算保证金，并根据中国证券登记结算公司确定的实际最低备付金和结算保证金数据为依据安排资金运作，调整所需的现金头寸。</w:t>
      </w:r>
    </w:p>
    <w:p>
      <w:pPr>
        <w:ind w:firstLine="480"/>
        <w:rPr>
          <w:lang w:eastAsia="zh-CN"/>
        </w:rPr>
      </w:pPr>
      <w:r>
        <w:rPr>
          <w:rFonts w:hint="eastAsia"/>
          <w:lang w:eastAsia="zh-CN"/>
        </w:rPr>
        <w:t>基金托管人负责基金买卖证券和</w:t>
      </w:r>
      <w:r>
        <w:rPr>
          <w:lang w:eastAsia="zh-CN"/>
        </w:rPr>
        <w:t>其他基金</w:t>
      </w:r>
      <w:r>
        <w:rPr>
          <w:rFonts w:hint="eastAsia"/>
          <w:lang w:eastAsia="zh-CN"/>
        </w:rPr>
        <w:t>的清算交收。场内资金结算由基金托管人根据中国证券登记结算公司结算数据办理；场外资金汇划由基金托管人根据基金管理人的交易划款指令具体办理。</w:t>
      </w:r>
    </w:p>
    <w:p>
      <w:pPr>
        <w:ind w:firstLine="480"/>
        <w:rPr>
          <w:lang w:eastAsia="zh-CN"/>
        </w:rPr>
      </w:pPr>
      <w:r>
        <w:rPr>
          <w:rFonts w:hint="eastAsia"/>
          <w:lang w:eastAsia="zh-CN"/>
        </w:rPr>
        <w:t>如果因为基金托管人自身原因在清算上造成基金资产的损失，应由基金托管人负责赔偿基金的损失；如果由于基金管理人违反法律法规、交易规则的规定进行超买、超卖等原因造成基金投资清算困难和风险，基金托管人发现后应立即通知基金管理人，由基金管理人负责解决，由此给基金造成的损失由基金管理人承担。</w:t>
      </w:r>
    </w:p>
    <w:p>
      <w:pPr>
        <w:ind w:firstLine="480"/>
        <w:rPr>
          <w:lang w:eastAsia="zh-CN"/>
        </w:rPr>
      </w:pPr>
      <w:r>
        <w:rPr>
          <w:rFonts w:hint="eastAsia"/>
          <w:lang w:eastAsia="zh-CN"/>
        </w:rPr>
        <w:t>基金管理人应采取合理措施，确保在</w:t>
      </w:r>
      <w:r>
        <w:rPr>
          <w:lang w:eastAsia="zh-CN"/>
        </w:rPr>
        <w:t>T</w:t>
      </w:r>
      <w:r>
        <w:rPr>
          <w:rFonts w:hint="eastAsia"/>
          <w:lang w:eastAsia="zh-CN"/>
        </w:rPr>
        <w:t>＋</w:t>
      </w:r>
      <w:r>
        <w:rPr>
          <w:lang w:eastAsia="zh-CN"/>
        </w:rPr>
        <w:t>1</w:t>
      </w:r>
      <w:r>
        <w:rPr>
          <w:rFonts w:hint="eastAsia"/>
          <w:lang w:eastAsia="zh-CN"/>
        </w:rPr>
        <w:t>日上午10</w:t>
      </w:r>
      <w:r>
        <w:rPr>
          <w:lang w:eastAsia="zh-CN"/>
        </w:rPr>
        <w:t>:00</w:t>
      </w:r>
      <w:r>
        <w:rPr>
          <w:rFonts w:hint="eastAsia"/>
          <w:lang w:eastAsia="zh-CN"/>
        </w:rPr>
        <w:t>前有足够的资金头寸，用于当日中国证券登记结算公司上海分公司和深圳分公司的资金结算。</w:t>
      </w:r>
    </w:p>
    <w:p>
      <w:pPr>
        <w:ind w:firstLine="480"/>
        <w:rPr>
          <w:lang w:eastAsia="zh-CN"/>
        </w:rPr>
      </w:pPr>
      <w:r>
        <w:rPr>
          <w:rFonts w:hint="eastAsia"/>
          <w:lang w:eastAsia="zh-CN"/>
        </w:rPr>
        <w:t>基金场外交易用于交收的资金头寸不足时，基金托管人有权拒绝基金管理人发送的划款指令。</w:t>
      </w:r>
    </w:p>
    <w:p>
      <w:pPr>
        <w:ind w:firstLine="480"/>
        <w:rPr>
          <w:rFonts w:cs="宋体"/>
          <w:color w:val="000000"/>
          <w:lang w:eastAsia="zh-CN"/>
        </w:rPr>
      </w:pPr>
      <w:r>
        <w:rPr>
          <w:rFonts w:hint="eastAsia"/>
          <w:lang w:eastAsia="zh-CN"/>
        </w:rPr>
        <w:t>对于场内交易的资金清算交收，若基金管理人未能按时补足结算资金的，基金托管人应按照中国证券登记结算有限责任公司的有关规定办理。因基金管理人未能按时补足结算资金</w:t>
      </w:r>
      <w:r>
        <w:rPr>
          <w:rFonts w:hint="eastAsia" w:cs="宋体"/>
          <w:color w:val="000000"/>
          <w:lang w:eastAsia="zh-CN"/>
        </w:rPr>
        <w:t>影响基金资产的清算交收及基金托管人与中国证券登记结算有限责任公司之间的一级清算，由此给基金资产、基金托管人及基金托管人托管的其他资产造成的损失由基金管理人承担。</w:t>
      </w:r>
    </w:p>
    <w:p>
      <w:pPr>
        <w:ind w:firstLine="480"/>
        <w:rPr>
          <w:lang w:eastAsia="zh-CN"/>
        </w:rPr>
      </w:pPr>
      <w:r>
        <w:rPr>
          <w:rFonts w:hint="eastAsia"/>
          <w:lang w:eastAsia="zh-CN"/>
        </w:rPr>
        <w:t>在资金头寸充足的情况下，基金托管人对基金管理人在正常业务受理渠道和指令规定的合理时间内发送的符合法律法规、基金合同及</w:t>
      </w:r>
      <w:r>
        <w:rPr>
          <w:lang w:eastAsia="zh-CN"/>
        </w:rPr>
        <w:t>本协议</w:t>
      </w:r>
      <w:r>
        <w:rPr>
          <w:rFonts w:hint="eastAsia"/>
          <w:lang w:eastAsia="zh-CN"/>
        </w:rPr>
        <w:t>的指令不得拖延或拒绝执行。如由于基金托管人的原因导致基金财产无法按时支付证券清算款，由此造成的损失由基金托管人承担，但银行托管账户余额不足或基金托管人如遇到不可抗力的情况除外。</w:t>
      </w:r>
    </w:p>
    <w:p>
      <w:pPr>
        <w:ind w:firstLine="480"/>
        <w:rPr>
          <w:lang w:eastAsia="zh-CN"/>
        </w:rPr>
      </w:pPr>
      <w:r>
        <w:rPr>
          <w:lang w:eastAsia="zh-CN"/>
        </w:rPr>
        <w:t>2</w:t>
      </w:r>
      <w:r>
        <w:rPr>
          <w:rFonts w:hint="eastAsia"/>
          <w:lang w:eastAsia="zh-CN"/>
        </w:rPr>
        <w:t>．交易记录、资金和证券账目核对的时间和方式</w:t>
      </w:r>
    </w:p>
    <w:p>
      <w:pPr>
        <w:ind w:firstLine="480"/>
        <w:rPr>
          <w:lang w:eastAsia="zh-CN"/>
        </w:rPr>
      </w:pPr>
      <w:r>
        <w:rPr>
          <w:rFonts w:hint="eastAsia"/>
          <w:lang w:eastAsia="zh-CN"/>
        </w:rPr>
        <w:t>（1）资金账目的核对</w:t>
      </w:r>
    </w:p>
    <w:p>
      <w:pPr>
        <w:ind w:firstLine="480"/>
        <w:rPr>
          <w:lang w:eastAsia="zh-CN"/>
        </w:rPr>
      </w:pPr>
      <w:r>
        <w:rPr>
          <w:rFonts w:hint="eastAsia"/>
          <w:lang w:eastAsia="zh-CN"/>
        </w:rPr>
        <w:t>资金账目由基金管理人和基金托管人按日核实，账实相符。</w:t>
      </w:r>
    </w:p>
    <w:p>
      <w:pPr>
        <w:ind w:firstLine="480"/>
        <w:rPr>
          <w:lang w:eastAsia="zh-CN"/>
        </w:rPr>
      </w:pPr>
      <w:r>
        <w:rPr>
          <w:rFonts w:hint="eastAsia"/>
          <w:lang w:eastAsia="zh-CN"/>
        </w:rPr>
        <w:t>（2）证券账目的核对</w:t>
      </w:r>
    </w:p>
    <w:p>
      <w:pPr>
        <w:ind w:firstLine="480"/>
        <w:rPr>
          <w:lang w:eastAsia="zh-CN"/>
        </w:rPr>
      </w:pPr>
      <w:r>
        <w:rPr>
          <w:rFonts w:hint="eastAsia"/>
          <w:lang w:eastAsia="zh-CN"/>
        </w:rPr>
        <w:t>基金管理人和基金托管人每交易日结束后核对基金证券账目，确保双方账目相符。基金管理人、基金托管人应按时核对交易所证券账户中的种类和数量，确保每日交易结束后证券账户中证券的种类和数量与基金会计账簿中的记载一致。</w:t>
      </w:r>
    </w:p>
    <w:p>
      <w:pPr>
        <w:ind w:firstLine="480"/>
        <w:rPr>
          <w:lang w:eastAsia="zh-CN"/>
        </w:rPr>
      </w:pPr>
      <w:r>
        <w:rPr>
          <w:rFonts w:hint="eastAsia"/>
          <w:lang w:eastAsia="zh-CN"/>
        </w:rPr>
        <w:t>对于资金账目及证券账目，若基金管理人与基金托管人核对不一致，双方应积极查找原因并纠正。</w:t>
      </w:r>
    </w:p>
    <w:p>
      <w:pPr>
        <w:ind w:firstLine="480"/>
        <w:rPr>
          <w:lang w:eastAsia="zh-CN"/>
        </w:rPr>
      </w:pPr>
      <w:r>
        <w:rPr>
          <w:rFonts w:hint="eastAsia"/>
          <w:lang w:eastAsia="zh-CN"/>
        </w:rPr>
        <w:t>（三）基金申购和赎回业务处理的基本规定</w:t>
      </w:r>
    </w:p>
    <w:p>
      <w:pPr>
        <w:ind w:firstLine="480"/>
        <w:rPr>
          <w:lang w:eastAsia="zh-CN"/>
        </w:rPr>
      </w:pPr>
      <w:r>
        <w:rPr>
          <w:lang w:eastAsia="zh-CN"/>
        </w:rPr>
        <w:t>1</w:t>
      </w:r>
      <w:r>
        <w:rPr>
          <w:rFonts w:hint="eastAsia"/>
          <w:lang w:eastAsia="zh-CN"/>
        </w:rPr>
        <w:t>．基金份额申购、赎回的确认、清算由基金管理人指定的登记机构负责。</w:t>
      </w:r>
    </w:p>
    <w:p>
      <w:pPr>
        <w:ind w:firstLine="480"/>
        <w:rPr>
          <w:lang w:eastAsia="zh-CN"/>
        </w:rPr>
      </w:pPr>
      <w:r>
        <w:rPr>
          <w:lang w:eastAsia="zh-CN"/>
        </w:rPr>
        <w:t>2</w:t>
      </w:r>
      <w:r>
        <w:rPr>
          <w:rFonts w:hint="eastAsia"/>
          <w:lang w:eastAsia="zh-CN"/>
        </w:rPr>
        <w:t>．基金管理人应将每个开放日的申购、赎回、转换开放式基金的数据传送给基金托管人。基金管理人应对传递的申购、赎回、转换开放式基金的数据真实性负责。基金托管人应及时查收申购资金及转入资金的到账情况并根据基金管理人指令及时划付赎回及转出款项。</w:t>
      </w:r>
    </w:p>
    <w:p>
      <w:pPr>
        <w:ind w:firstLine="480"/>
        <w:rPr>
          <w:lang w:eastAsia="zh-CN"/>
        </w:rPr>
      </w:pPr>
      <w:r>
        <w:rPr>
          <w:lang w:eastAsia="zh-CN"/>
        </w:rPr>
        <w:t>3</w:t>
      </w:r>
      <w:r>
        <w:rPr>
          <w:rFonts w:hint="eastAsia"/>
          <w:lang w:eastAsia="zh-CN"/>
        </w:rPr>
        <w:t>．基金管理人应保证其委托的登记机构必须于每个工作日</w:t>
      </w:r>
      <w:r>
        <w:rPr>
          <w:lang w:eastAsia="zh-CN"/>
        </w:rPr>
        <w:t>15:00</w:t>
      </w:r>
      <w:r>
        <w:rPr>
          <w:rFonts w:hint="eastAsia"/>
          <w:lang w:eastAsia="zh-CN"/>
        </w:rPr>
        <w:t>前向基金托管人发送上述有关数据，并保证相关数据的准确、完整。</w:t>
      </w:r>
    </w:p>
    <w:p>
      <w:pPr>
        <w:ind w:firstLine="480"/>
        <w:rPr>
          <w:lang w:eastAsia="zh-CN"/>
        </w:rPr>
      </w:pPr>
      <w:r>
        <w:rPr>
          <w:lang w:eastAsia="zh-CN"/>
        </w:rPr>
        <w:t>4</w:t>
      </w:r>
      <w:r>
        <w:rPr>
          <w:rFonts w:hint="eastAsia"/>
          <w:lang w:eastAsia="zh-CN"/>
        </w:rPr>
        <w:t>．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pPr>
        <w:ind w:firstLine="480"/>
        <w:rPr>
          <w:lang w:eastAsia="zh-CN"/>
        </w:rPr>
      </w:pPr>
      <w:r>
        <w:rPr>
          <w:lang w:eastAsia="zh-CN"/>
        </w:rPr>
        <w:t>5</w:t>
      </w:r>
      <w:r>
        <w:rPr>
          <w:rFonts w:hint="eastAsia"/>
          <w:lang w:eastAsia="zh-CN"/>
        </w:rPr>
        <w:t>．如基金管理人委托其他机构办理本基金的注册登记业务，上述事宜由基金管理人负责并保证上述事宜按时进行。</w:t>
      </w:r>
    </w:p>
    <w:p>
      <w:pPr>
        <w:ind w:firstLine="480"/>
        <w:rPr>
          <w:lang w:eastAsia="zh-CN"/>
        </w:rPr>
      </w:pPr>
      <w:r>
        <w:rPr>
          <w:lang w:eastAsia="zh-CN"/>
        </w:rPr>
        <w:t>6</w:t>
      </w:r>
      <w:r>
        <w:rPr>
          <w:rFonts w:hint="eastAsia"/>
          <w:lang w:eastAsia="zh-CN"/>
        </w:rPr>
        <w:t>．关于清算专用账户的设立和管理</w:t>
      </w:r>
    </w:p>
    <w:p>
      <w:pPr>
        <w:ind w:firstLine="480"/>
        <w:rPr>
          <w:lang w:eastAsia="zh-CN"/>
        </w:rPr>
      </w:pPr>
      <w:r>
        <w:rPr>
          <w:rFonts w:hint="eastAsia"/>
          <w:lang w:eastAsia="zh-CN"/>
        </w:rPr>
        <w:t>为满足申购、赎回及分红资金汇划的需要，由基金管理人开立资金清算的专用账户，该账户由登记机构管理。</w:t>
      </w:r>
    </w:p>
    <w:p>
      <w:pPr>
        <w:ind w:firstLine="480"/>
        <w:rPr>
          <w:lang w:eastAsia="zh-CN"/>
        </w:rPr>
      </w:pPr>
      <w:r>
        <w:rPr>
          <w:lang w:eastAsia="zh-CN"/>
        </w:rPr>
        <w:t>7</w:t>
      </w:r>
      <w:r>
        <w:rPr>
          <w:rFonts w:hint="eastAsia"/>
          <w:lang w:eastAsia="zh-CN"/>
        </w:rPr>
        <w:t>．对于基金申购过程中产生的应收资产，应由基金管理人负责与有关当事人确定到账日期并通知基金托管人，到账日基金财产没有到达基金账户的，基金托管人应及时通知基金管理人采取措施进行催收，由此给基金造成损失的，基金管理人应负责向有关当事人追偿基金的损失。</w:t>
      </w:r>
    </w:p>
    <w:p>
      <w:pPr>
        <w:ind w:firstLine="480"/>
        <w:rPr>
          <w:lang w:eastAsia="zh-CN"/>
        </w:rPr>
      </w:pPr>
      <w:r>
        <w:rPr>
          <w:lang w:eastAsia="zh-CN"/>
        </w:rPr>
        <w:t>8</w:t>
      </w:r>
      <w:r>
        <w:rPr>
          <w:rFonts w:hint="eastAsia"/>
          <w:lang w:eastAsia="zh-CN"/>
        </w:rPr>
        <w:t>．赎回和分红资金划拨规定</w:t>
      </w:r>
    </w:p>
    <w:p>
      <w:pPr>
        <w:ind w:firstLine="480"/>
        <w:rPr>
          <w:lang w:eastAsia="zh-CN"/>
        </w:rPr>
      </w:pPr>
      <w:r>
        <w:rPr>
          <w:rFonts w:hint="eastAsia"/>
          <w:lang w:eastAsia="zh-CN"/>
        </w:rPr>
        <w:t>拨付赎回款或进行基金分红时，如基金银行账户有足够的资金，基金托管人应按时拨付；如果基金托管人未能按时拨付相关款项的，责任由基金托管人承担。因基金银行账户没有足够的资金，导致基金托管人不能按时拨付，如系基金管理人的原因造成，责任由基金管理人承担，基金托管人不承担垫款义务。</w:t>
      </w:r>
    </w:p>
    <w:p>
      <w:pPr>
        <w:ind w:firstLine="480"/>
        <w:rPr>
          <w:lang w:eastAsia="zh-CN"/>
        </w:rPr>
      </w:pPr>
      <w:r>
        <w:rPr>
          <w:lang w:eastAsia="zh-CN"/>
        </w:rPr>
        <w:t>9</w:t>
      </w:r>
      <w:r>
        <w:rPr>
          <w:rFonts w:hint="eastAsia"/>
          <w:lang w:eastAsia="zh-CN"/>
        </w:rPr>
        <w:t>．资金指令</w:t>
      </w:r>
    </w:p>
    <w:p>
      <w:pPr>
        <w:ind w:firstLine="480"/>
        <w:rPr>
          <w:lang w:eastAsia="zh-CN"/>
        </w:rPr>
      </w:pPr>
      <w:r>
        <w:rPr>
          <w:rFonts w:hint="eastAsia"/>
          <w:lang w:eastAsia="zh-CN"/>
        </w:rPr>
        <w:t>除申购款项到达基金银行账户需双方按约定方式对账外，资金划出、赎回和分红资金划拨时，基金管理人需向基金托管人下达指令。</w:t>
      </w:r>
    </w:p>
    <w:p>
      <w:pPr>
        <w:ind w:firstLine="480"/>
        <w:rPr>
          <w:lang w:eastAsia="zh-CN"/>
        </w:rPr>
      </w:pPr>
      <w:r>
        <w:rPr>
          <w:rFonts w:hint="eastAsia"/>
          <w:lang w:eastAsia="zh-CN"/>
        </w:rPr>
        <w:t>资金指令的格式、内容、发送、接收和确认方式等除与投资指令相同外，其他部分另行规定。</w:t>
      </w:r>
    </w:p>
    <w:p>
      <w:pPr>
        <w:ind w:firstLine="480"/>
        <w:rPr>
          <w:lang w:eastAsia="zh-CN"/>
        </w:rPr>
      </w:pPr>
      <w:r>
        <w:rPr>
          <w:rFonts w:hint="eastAsia"/>
          <w:lang w:eastAsia="zh-CN"/>
        </w:rPr>
        <w:t>（四）申赎净额结算</w:t>
      </w:r>
    </w:p>
    <w:p>
      <w:pPr>
        <w:adjustRightInd w:val="0"/>
        <w:snapToGrid w:val="0"/>
        <w:ind w:firstLine="480" w:firstLineChars="200"/>
        <w:rPr>
          <w:lang w:eastAsia="zh-CN"/>
        </w:rPr>
      </w:pPr>
      <w:r>
        <w:rPr>
          <w:lang w:eastAsia="zh-CN"/>
        </w:rPr>
        <w:t>T+4日15:00前，登记机构根据T日基金份额净值计算基金投资者申</w:t>
      </w:r>
      <w:r>
        <w:rPr>
          <w:rFonts w:hint="eastAsia"/>
          <w:lang w:eastAsia="zh-CN"/>
        </w:rPr>
        <w:t>赎</w:t>
      </w:r>
      <w:r>
        <w:rPr>
          <w:lang w:eastAsia="zh-CN"/>
        </w:rPr>
        <w:t>基金的份额，</w:t>
      </w:r>
      <w:r>
        <w:rPr>
          <w:rFonts w:hint="eastAsia"/>
          <w:lang w:eastAsia="zh-CN"/>
        </w:rPr>
        <w:t>基金管理人</w:t>
      </w:r>
      <w:r>
        <w:rPr>
          <w:lang w:eastAsia="zh-CN"/>
        </w:rPr>
        <w:t>将登记机构确认的有效数据汇总传输给基金托管人。基金管理人和基金托管人据此进行</w:t>
      </w:r>
      <w:r>
        <w:rPr>
          <w:rFonts w:hint="eastAsia"/>
          <w:lang w:eastAsia="zh-CN"/>
        </w:rPr>
        <w:t>申购赎回</w:t>
      </w:r>
      <w:r>
        <w:rPr>
          <w:lang w:eastAsia="zh-CN"/>
        </w:rPr>
        <w:t>的基金会计处理</w:t>
      </w:r>
      <w:r>
        <w:rPr>
          <w:rFonts w:hint="eastAsia"/>
          <w:lang w:eastAsia="zh-CN"/>
        </w:rPr>
        <w:t>。基金申购、赎回等款项</w:t>
      </w:r>
      <w:r>
        <w:rPr>
          <w:lang w:eastAsia="zh-CN"/>
        </w:rPr>
        <w:t>T+6</w:t>
      </w:r>
      <w:r>
        <w:rPr>
          <w:rFonts w:hint="eastAsia"/>
          <w:lang w:eastAsia="zh-CN"/>
        </w:rPr>
        <w:t>日前在基金管理人总清算账户和基金银行账户之间交收。</w:t>
      </w:r>
    </w:p>
    <w:p>
      <w:pPr>
        <w:adjustRightInd w:val="0"/>
        <w:snapToGrid w:val="0"/>
        <w:ind w:firstLine="480" w:firstLineChars="200"/>
        <w:rPr>
          <w:lang w:eastAsia="zh-CN"/>
        </w:rPr>
      </w:pPr>
      <w:r>
        <w:rPr>
          <w:rFonts w:hint="eastAsia"/>
          <w:lang w:eastAsia="zh-CN"/>
        </w:rPr>
        <w:t>对于基金应收款，基金管理人将及时进行划付并通知基金托管人，基金托管人应及时查收，对于未准时划付的资金，应通知基金管理人，由此产生的责任由责任方承担。后果严重的基金托管人应向中国证监会报告。</w:t>
      </w:r>
    </w:p>
    <w:p>
      <w:pPr>
        <w:adjustRightInd w:val="0"/>
        <w:snapToGrid w:val="0"/>
        <w:ind w:firstLine="480" w:firstLineChars="200"/>
        <w:rPr>
          <w:lang w:eastAsia="zh-CN"/>
        </w:rPr>
      </w:pPr>
      <w:r>
        <w:rPr>
          <w:rFonts w:hint="eastAsia"/>
          <w:lang w:eastAsia="zh-CN"/>
        </w:rPr>
        <w:t>对于基金应付款，基金托管人应根据基金管理人的指令及时进行划付。对于未准时划付的资金，基金管理人应及时通知基金托管人划付，由此产生的责任由责任方承担。后果严重的基金管理人应向中国证监会报告。</w:t>
      </w:r>
    </w:p>
    <w:p>
      <w:pPr>
        <w:ind w:firstLine="480"/>
        <w:rPr>
          <w:lang w:eastAsia="zh-CN"/>
        </w:rPr>
      </w:pPr>
      <w:r>
        <w:rPr>
          <w:rFonts w:hint="eastAsia"/>
          <w:lang w:eastAsia="zh-CN"/>
        </w:rPr>
        <w:t>在发生巨额赎回或基金合同载明的其他暂停赎回或延缓支付赎回款项的情形时，款项的支付办法参照基金合同有关条款处理。</w:t>
      </w:r>
    </w:p>
    <w:p>
      <w:pPr>
        <w:ind w:firstLine="480"/>
        <w:rPr>
          <w:lang w:eastAsia="zh-CN"/>
        </w:rPr>
      </w:pPr>
      <w:r>
        <w:rPr>
          <w:rFonts w:hint="eastAsia"/>
          <w:lang w:eastAsia="zh-CN"/>
        </w:rPr>
        <w:t>（五）基金转换</w:t>
      </w:r>
    </w:p>
    <w:p>
      <w:pPr>
        <w:ind w:firstLine="480"/>
        <w:rPr>
          <w:lang w:eastAsia="zh-CN"/>
        </w:rPr>
      </w:pPr>
      <w:r>
        <w:rPr>
          <w:lang w:eastAsia="zh-CN"/>
        </w:rPr>
        <w:t>1</w:t>
      </w:r>
      <w:r>
        <w:rPr>
          <w:rFonts w:hint="eastAsia"/>
          <w:lang w:eastAsia="zh-CN"/>
        </w:rPr>
        <w:t>．在本基金与基金管理人管理的其它基金开展转换业务之前，基金管理人应函告基金托管人并就相关的资金清算和数据传递的时间、程序及托管协议当事人承担的权责事宜进行商谈。</w:t>
      </w:r>
    </w:p>
    <w:p>
      <w:pPr>
        <w:ind w:firstLine="480"/>
        <w:rPr>
          <w:lang w:eastAsia="zh-CN"/>
        </w:rPr>
      </w:pPr>
      <w:r>
        <w:rPr>
          <w:lang w:eastAsia="zh-CN"/>
        </w:rPr>
        <w:t>2</w:t>
      </w:r>
      <w:r>
        <w:rPr>
          <w:rFonts w:hint="eastAsia"/>
          <w:lang w:eastAsia="zh-CN"/>
        </w:rPr>
        <w:t>．基金托管人将根据基金管理人传送的基金转换数据进行账务处理。</w:t>
      </w:r>
    </w:p>
    <w:p>
      <w:pPr>
        <w:ind w:firstLine="480"/>
        <w:rPr>
          <w:lang w:eastAsia="zh-CN"/>
        </w:rPr>
      </w:pPr>
      <w:r>
        <w:rPr>
          <w:lang w:eastAsia="zh-CN"/>
        </w:rPr>
        <w:t>3</w:t>
      </w:r>
      <w:r>
        <w:rPr>
          <w:rFonts w:hint="eastAsia"/>
          <w:lang w:eastAsia="zh-CN"/>
        </w:rPr>
        <w:t>．本基金开展基金转换业务应依照有关规定在指定媒介上公告。</w:t>
      </w:r>
    </w:p>
    <w:p>
      <w:pPr>
        <w:ind w:firstLine="480"/>
        <w:rPr>
          <w:lang w:eastAsia="zh-CN"/>
        </w:rPr>
      </w:pPr>
      <w:r>
        <w:rPr>
          <w:rFonts w:hint="eastAsia"/>
          <w:lang w:eastAsia="zh-CN"/>
        </w:rPr>
        <w:t>（六）基金现金分红</w:t>
      </w:r>
    </w:p>
    <w:p>
      <w:pPr>
        <w:ind w:firstLine="480"/>
        <w:rPr>
          <w:lang w:eastAsia="zh-CN"/>
        </w:rPr>
      </w:pPr>
      <w:r>
        <w:rPr>
          <w:lang w:eastAsia="zh-CN"/>
        </w:rPr>
        <w:t>1</w:t>
      </w:r>
      <w:r>
        <w:rPr>
          <w:rFonts w:hint="eastAsia"/>
          <w:lang w:eastAsia="zh-CN"/>
        </w:rPr>
        <w:t>．基金管理人确定分红方案应通知基金托管人，双方核定后依照《信息披露办法》的有关规定在指定媒介上公告。</w:t>
      </w:r>
    </w:p>
    <w:p>
      <w:pPr>
        <w:ind w:firstLine="480"/>
        <w:rPr>
          <w:lang w:eastAsia="zh-CN"/>
        </w:rPr>
      </w:pPr>
      <w:r>
        <w:rPr>
          <w:lang w:eastAsia="zh-CN"/>
        </w:rPr>
        <w:t>2</w:t>
      </w:r>
      <w:r>
        <w:rPr>
          <w:rFonts w:hint="eastAsia"/>
          <w:lang w:eastAsia="zh-CN"/>
        </w:rPr>
        <w:t>．基金托管人和基金管理人对基金分红进行账务处理并核对后，基金管理人向基金托管人发送现金红利的划款指令，基金托管人应及时将资金划入专用账户。</w:t>
      </w:r>
    </w:p>
    <w:p>
      <w:pPr>
        <w:ind w:firstLine="480"/>
        <w:rPr>
          <w:lang w:eastAsia="zh-CN"/>
        </w:rPr>
      </w:pPr>
      <w:r>
        <w:rPr>
          <w:lang w:eastAsia="zh-CN"/>
        </w:rPr>
        <w:t>3</w:t>
      </w:r>
      <w:r>
        <w:rPr>
          <w:rFonts w:hint="eastAsia"/>
          <w:lang w:eastAsia="zh-CN"/>
        </w:rPr>
        <w:t>．基金管理人在下达指令时，应给基金托管人留出必需的划款时间。</w:t>
      </w:r>
    </w:p>
    <w:p>
      <w:pPr>
        <w:ind w:firstLine="480"/>
        <w:rPr>
          <w:lang w:eastAsia="zh-CN"/>
        </w:rPr>
      </w:pPr>
    </w:p>
    <w:p>
      <w:pPr>
        <w:ind w:firstLine="480"/>
        <w:rPr>
          <w:lang w:eastAsia="zh-CN"/>
        </w:rPr>
      </w:pPr>
    </w:p>
    <w:p>
      <w:pPr>
        <w:pStyle w:val="2"/>
        <w:rPr>
          <w:lang w:eastAsia="zh-CN"/>
        </w:rPr>
      </w:pPr>
      <w:bookmarkStart w:id="16" w:name="_Toc296541726"/>
      <w:r>
        <w:rPr>
          <w:rFonts w:hint="eastAsia"/>
          <w:lang w:eastAsia="zh-CN"/>
        </w:rPr>
        <w:t>八、基金资产净值计算和会计核算</w:t>
      </w:r>
      <w:bookmarkEnd w:id="16"/>
    </w:p>
    <w:p>
      <w:pPr>
        <w:ind w:firstLine="480"/>
        <w:rPr>
          <w:lang w:eastAsia="zh-CN"/>
        </w:rPr>
      </w:pPr>
      <w:r>
        <w:rPr>
          <w:rFonts w:hint="eastAsia"/>
          <w:lang w:eastAsia="zh-CN"/>
        </w:rPr>
        <w:t>（一）基金资产净值的计算及复核程序</w:t>
      </w:r>
    </w:p>
    <w:p>
      <w:pPr>
        <w:ind w:firstLine="480"/>
        <w:rPr>
          <w:lang w:eastAsia="zh-CN"/>
        </w:rPr>
      </w:pPr>
      <w:r>
        <w:rPr>
          <w:lang w:eastAsia="zh-CN"/>
        </w:rPr>
        <w:t>1</w:t>
      </w:r>
      <w:r>
        <w:rPr>
          <w:rFonts w:hint="eastAsia"/>
          <w:lang w:eastAsia="zh-CN"/>
        </w:rPr>
        <w:t>．基金资产净值</w:t>
      </w:r>
    </w:p>
    <w:p>
      <w:pPr>
        <w:ind w:firstLine="480"/>
        <w:rPr>
          <w:lang w:eastAsia="zh-CN"/>
        </w:rPr>
      </w:pPr>
      <w:r>
        <w:rPr>
          <w:rFonts w:hint="eastAsia"/>
          <w:lang w:eastAsia="zh-CN"/>
        </w:rPr>
        <w:t>基金资产净值是指基金资产总值减去负债后的金额。</w:t>
      </w:r>
    </w:p>
    <w:p>
      <w:pPr>
        <w:ind w:firstLine="480"/>
        <w:rPr>
          <w:lang w:eastAsia="zh-CN"/>
        </w:rPr>
      </w:pPr>
      <w:r>
        <w:rPr>
          <w:rFonts w:hint="eastAsia"/>
          <w:lang w:eastAsia="zh-CN"/>
        </w:rPr>
        <w:t>T日</w:t>
      </w:r>
      <w:r>
        <w:rPr>
          <w:lang w:eastAsia="zh-CN"/>
        </w:rPr>
        <w:t>的</w:t>
      </w:r>
      <w:r>
        <w:rPr>
          <w:rFonts w:hint="eastAsia"/>
          <w:lang w:eastAsia="zh-CN"/>
        </w:rPr>
        <w:t>基金份额净值是按照T日</w:t>
      </w:r>
      <w:r>
        <w:rPr>
          <w:lang w:eastAsia="zh-CN"/>
        </w:rPr>
        <w:t>的</w:t>
      </w:r>
      <w:r>
        <w:rPr>
          <w:rFonts w:hint="eastAsia"/>
          <w:lang w:eastAsia="zh-CN"/>
        </w:rPr>
        <w:t>基金资产净值除以T日</w:t>
      </w:r>
      <w:r>
        <w:rPr>
          <w:lang w:eastAsia="zh-CN"/>
        </w:rPr>
        <w:t>的</w:t>
      </w:r>
      <w:r>
        <w:rPr>
          <w:rFonts w:hint="eastAsia"/>
          <w:lang w:eastAsia="zh-CN"/>
        </w:rPr>
        <w:t>基金份额余额后的数值。</w:t>
      </w:r>
    </w:p>
    <w:p>
      <w:pPr>
        <w:ind w:firstLine="482"/>
        <w:rPr>
          <w:lang w:eastAsia="zh-CN"/>
        </w:rPr>
      </w:pPr>
      <w:r>
        <w:rPr>
          <w:rFonts w:hint="eastAsia"/>
          <w:lang w:eastAsia="zh-CN"/>
        </w:rPr>
        <w:t>基金份额净值的计算，精确到</w:t>
      </w:r>
      <w:r>
        <w:rPr>
          <w:lang w:eastAsia="zh-CN"/>
        </w:rPr>
        <w:t>0.0</w:t>
      </w:r>
      <w:r>
        <w:rPr>
          <w:rFonts w:hint="eastAsia"/>
          <w:lang w:eastAsia="zh-CN"/>
        </w:rPr>
        <w:t>0</w:t>
      </w:r>
      <w:r>
        <w:rPr>
          <w:lang w:eastAsia="zh-CN"/>
        </w:rPr>
        <w:t>01</w:t>
      </w:r>
      <w:r>
        <w:rPr>
          <w:rFonts w:hint="eastAsia"/>
          <w:lang w:eastAsia="zh-CN"/>
        </w:rPr>
        <w:t>元，小数点后第五位四舍五入，由此产生的误差计入基金财产。</w:t>
      </w:r>
      <w:r>
        <w:rPr>
          <w:rFonts w:hint="eastAsia"/>
          <w:bCs/>
          <w:lang w:eastAsia="zh-CN"/>
        </w:rPr>
        <w:t>基金管理人可以设立大额赎回情形下的净值精度应急调整机制。</w:t>
      </w:r>
      <w:r>
        <w:rPr>
          <w:rFonts w:hint="eastAsia"/>
          <w:lang w:eastAsia="zh-CN"/>
        </w:rPr>
        <w:t>国家另有规定的，从其规定。</w:t>
      </w:r>
    </w:p>
    <w:p>
      <w:pPr>
        <w:ind w:firstLine="480"/>
        <w:rPr>
          <w:lang w:eastAsia="zh-CN"/>
        </w:rPr>
      </w:pPr>
      <w:r>
        <w:rPr>
          <w:lang w:eastAsia="zh-CN"/>
        </w:rPr>
        <w:t>T日的基金份额净值在所投资基金披露净值或万份收益的当日计算（法定节假日顺延至第一个交易日），并于T+3日内公告。</w:t>
      </w:r>
    </w:p>
    <w:p>
      <w:pPr>
        <w:ind w:firstLine="480"/>
        <w:rPr>
          <w:lang w:eastAsia="zh-CN"/>
        </w:rPr>
      </w:pPr>
      <w:r>
        <w:rPr>
          <w:lang w:eastAsia="zh-CN"/>
        </w:rPr>
        <w:t>2</w:t>
      </w:r>
      <w:r>
        <w:rPr>
          <w:rFonts w:hint="eastAsia"/>
          <w:lang w:eastAsia="zh-CN"/>
        </w:rPr>
        <w:t>．复核程序</w:t>
      </w:r>
    </w:p>
    <w:p>
      <w:pPr>
        <w:ind w:firstLine="480"/>
        <w:rPr>
          <w:lang w:eastAsia="zh-CN"/>
        </w:rPr>
      </w:pPr>
      <w:r>
        <w:rPr>
          <w:rFonts w:hint="eastAsia"/>
          <w:lang w:eastAsia="zh-CN"/>
        </w:rPr>
        <w:t>基金管理人每个工作日对基金资产进行估值后，将基金份额净值结果发送基金托管人，经基金托管人复核无误后，由基金管理人按约定对外公布</w:t>
      </w:r>
      <w:r>
        <w:rPr>
          <w:rFonts w:hint="eastAsia"/>
          <w:bCs/>
          <w:lang w:eastAsia="zh-CN"/>
        </w:rPr>
        <w:t>，但基金管理人根据法律法规或基金合同的规定暂停估值时除外</w:t>
      </w:r>
      <w:r>
        <w:rPr>
          <w:rFonts w:hint="eastAsia"/>
          <w:lang w:eastAsia="zh-CN"/>
        </w:rPr>
        <w:t>。</w:t>
      </w:r>
    </w:p>
    <w:p>
      <w:pPr>
        <w:ind w:firstLine="480"/>
        <w:rPr>
          <w:lang w:eastAsia="zh-CN"/>
        </w:rPr>
      </w:pPr>
      <w:r>
        <w:rPr>
          <w:rFonts w:hint="eastAsia"/>
          <w:lang w:eastAsia="zh-CN"/>
        </w:rPr>
        <w:t>（二）基金资产估值方法和特殊情形的处理</w:t>
      </w:r>
    </w:p>
    <w:p>
      <w:pPr>
        <w:ind w:firstLine="480"/>
        <w:rPr>
          <w:lang w:eastAsia="zh-CN"/>
        </w:rPr>
      </w:pPr>
      <w:r>
        <w:rPr>
          <w:lang w:eastAsia="zh-CN"/>
        </w:rPr>
        <w:t>1</w:t>
      </w:r>
      <w:r>
        <w:rPr>
          <w:rFonts w:hint="eastAsia"/>
          <w:lang w:eastAsia="zh-CN"/>
        </w:rPr>
        <w:t>．估值对象</w:t>
      </w:r>
    </w:p>
    <w:p>
      <w:pPr>
        <w:ind w:firstLine="480"/>
        <w:rPr>
          <w:lang w:eastAsia="zh-CN"/>
        </w:rPr>
      </w:pPr>
      <w:r>
        <w:rPr>
          <w:bCs/>
          <w:lang w:eastAsia="zh-CN"/>
        </w:rPr>
        <w:t>基金所拥有的</w:t>
      </w:r>
      <w:r>
        <w:rPr>
          <w:rFonts w:hint="eastAsia"/>
          <w:bCs/>
          <w:lang w:eastAsia="zh-CN"/>
        </w:rPr>
        <w:t>证券</w:t>
      </w:r>
      <w:r>
        <w:rPr>
          <w:bCs/>
          <w:lang w:eastAsia="zh-CN"/>
        </w:rPr>
        <w:t>投资基金、</w:t>
      </w:r>
      <w:r>
        <w:rPr>
          <w:rFonts w:hint="eastAsia"/>
          <w:bCs/>
          <w:lang w:eastAsia="zh-CN"/>
        </w:rPr>
        <w:t>股票、</w:t>
      </w:r>
      <w:r>
        <w:rPr>
          <w:bCs/>
          <w:lang w:eastAsia="zh-CN"/>
        </w:rPr>
        <w:t>债券和银行存款本息、应收款项、其它投资等资产及负债。</w:t>
      </w:r>
    </w:p>
    <w:p>
      <w:pPr>
        <w:ind w:firstLine="480"/>
        <w:rPr>
          <w:lang w:eastAsia="zh-CN"/>
        </w:rPr>
      </w:pPr>
      <w:r>
        <w:rPr>
          <w:lang w:eastAsia="zh-CN"/>
        </w:rPr>
        <w:t>2</w:t>
      </w:r>
      <w:r>
        <w:rPr>
          <w:rFonts w:hint="eastAsia"/>
          <w:lang w:eastAsia="zh-CN"/>
        </w:rPr>
        <w:t>．估值方法</w:t>
      </w:r>
    </w:p>
    <w:p>
      <w:pPr>
        <w:ind w:firstLine="480"/>
        <w:rPr>
          <w:lang w:eastAsia="zh-CN"/>
        </w:rPr>
      </w:pPr>
      <w:r>
        <w:rPr>
          <w:rFonts w:hint="eastAsia"/>
          <w:lang w:eastAsia="zh-CN"/>
        </w:rPr>
        <w:t>（1</w:t>
      </w:r>
      <w:r>
        <w:rPr>
          <w:lang w:eastAsia="zh-CN"/>
        </w:rPr>
        <w:t>）证券投资基金的估值</w:t>
      </w:r>
    </w:p>
    <w:p>
      <w:pPr>
        <w:ind w:firstLine="480"/>
        <w:rPr>
          <w:lang w:eastAsia="zh-CN"/>
        </w:rPr>
      </w:pPr>
      <w:r>
        <w:rPr>
          <w:lang w:eastAsia="zh-CN"/>
        </w:rPr>
        <w:t>1）投资于非上市基金的估值</w:t>
      </w:r>
    </w:p>
    <w:p>
      <w:pPr>
        <w:ind w:firstLine="480"/>
        <w:rPr>
          <w:lang w:eastAsia="zh-CN"/>
        </w:rPr>
      </w:pPr>
      <w:r>
        <w:rPr>
          <w:rFonts w:hint="eastAsia"/>
          <w:lang w:eastAsia="zh-CN"/>
        </w:rPr>
        <w:t>①投资的境内非货币市场基金，按所投资基金估值日的份额净值估值；</w:t>
      </w:r>
    </w:p>
    <w:p>
      <w:pPr>
        <w:ind w:firstLine="480"/>
        <w:rPr>
          <w:lang w:eastAsia="zh-CN"/>
        </w:rPr>
      </w:pPr>
      <w:r>
        <w:rPr>
          <w:rFonts w:hint="eastAsia"/>
          <w:lang w:eastAsia="zh-CN"/>
        </w:rPr>
        <w:t>②投资的境内货币市场基金，按所投资基金前一估值日后至估值日期间（含节假日）的万份收益计提估值日基金收益。</w:t>
      </w:r>
    </w:p>
    <w:p>
      <w:pPr>
        <w:ind w:firstLine="480"/>
        <w:rPr>
          <w:lang w:eastAsia="zh-CN"/>
        </w:rPr>
      </w:pPr>
      <w:r>
        <w:rPr>
          <w:lang w:eastAsia="zh-CN"/>
        </w:rPr>
        <w:t>2）投资于交易所上市基金的估值</w:t>
      </w:r>
    </w:p>
    <w:p>
      <w:pPr>
        <w:ind w:firstLine="480"/>
        <w:rPr>
          <w:lang w:eastAsia="zh-CN"/>
        </w:rPr>
      </w:pPr>
      <w:r>
        <w:rPr>
          <w:rFonts w:hint="eastAsia"/>
          <w:lang w:eastAsia="zh-CN"/>
        </w:rPr>
        <w:t>①投资的</w:t>
      </w:r>
      <w:r>
        <w:rPr>
          <w:lang w:eastAsia="zh-CN"/>
        </w:rPr>
        <w:t>ETF基金，按所投资ETF基金估值日的收盘价估值；</w:t>
      </w:r>
    </w:p>
    <w:p>
      <w:pPr>
        <w:ind w:firstLine="480"/>
        <w:rPr>
          <w:lang w:eastAsia="zh-CN"/>
        </w:rPr>
      </w:pPr>
      <w:r>
        <w:rPr>
          <w:rFonts w:hint="eastAsia"/>
          <w:lang w:eastAsia="zh-CN"/>
        </w:rPr>
        <w:t>②投资的境内上市开放式基金（</w:t>
      </w:r>
      <w:r>
        <w:rPr>
          <w:lang w:eastAsia="zh-CN"/>
        </w:rPr>
        <w:t>LOF），按所投资基金估值日的份额净值估值；</w:t>
      </w:r>
    </w:p>
    <w:p>
      <w:pPr>
        <w:ind w:firstLine="480"/>
        <w:rPr>
          <w:lang w:eastAsia="zh-CN"/>
        </w:rPr>
      </w:pPr>
      <w:r>
        <w:rPr>
          <w:rFonts w:hint="eastAsia"/>
          <w:lang w:eastAsia="zh-CN"/>
        </w:rPr>
        <w:t>③投资的境内上市定期开放式基金、封闭式基金，按所投资基金估值日的收盘价估值；</w:t>
      </w:r>
    </w:p>
    <w:p>
      <w:pPr>
        <w:ind w:firstLine="480"/>
        <w:rPr>
          <w:lang w:eastAsia="zh-CN"/>
        </w:rPr>
      </w:pPr>
      <w:r>
        <w:rPr>
          <w:rFonts w:hint="eastAsia"/>
          <w:lang w:eastAsia="zh-CN"/>
        </w:rPr>
        <w:t>④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ind w:firstLine="480"/>
        <w:rPr>
          <w:lang w:eastAsia="zh-CN"/>
        </w:rPr>
      </w:pPr>
      <w:r>
        <w:rPr>
          <w:lang w:eastAsia="zh-CN"/>
        </w:rPr>
        <w:t>3）如遇所投资基金不公布基金份额净值、进行折算或拆分、估值日无交易等特殊情况，根据以下原则进行估值：</w:t>
      </w:r>
    </w:p>
    <w:p>
      <w:pPr>
        <w:ind w:firstLine="480"/>
        <w:rPr>
          <w:lang w:eastAsia="zh-CN"/>
        </w:rPr>
      </w:pPr>
      <w:r>
        <w:rPr>
          <w:rFonts w:hint="eastAsia"/>
          <w:lang w:eastAsia="zh-CN"/>
        </w:rPr>
        <w:t>①以所投资基金的基金份额净值估值的，若所投资基金与本基金估值频率一致但未公布估值日基金份额净值，按其最近公布的基金份额净值为基础估值；</w:t>
      </w:r>
    </w:p>
    <w:p>
      <w:pPr>
        <w:ind w:firstLine="480"/>
        <w:rPr>
          <w:lang w:eastAsia="zh-CN"/>
        </w:rPr>
      </w:pPr>
      <w:r>
        <w:rPr>
          <w:rFonts w:hint="eastAsia"/>
          <w:lang w:eastAsia="zh-CN"/>
        </w:rPr>
        <w:t>②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pPr>
        <w:ind w:firstLine="480"/>
        <w:rPr>
          <w:lang w:eastAsia="zh-CN"/>
        </w:rPr>
      </w:pPr>
      <w:r>
        <w:rPr>
          <w:rFonts w:hint="eastAsia"/>
          <w:lang w:eastAsia="zh-CN"/>
        </w:rPr>
        <w:t>③如果所投资基金前一估值日至估值日期间发生分红除权、折算或拆分，基金管理人应根据基金份额净值或收盘价、单位基金份额分红金额、折算拆分比例、持仓份额等因素合理确定公允价值。</w:t>
      </w:r>
    </w:p>
    <w:p>
      <w:pPr>
        <w:ind w:firstLine="480" w:firstLineChars="200"/>
        <w:rPr>
          <w:bCs/>
          <w:lang w:eastAsia="zh-CN"/>
        </w:rPr>
      </w:pPr>
      <w:r>
        <w:rPr>
          <w:rFonts w:hint="eastAsia"/>
          <w:bCs/>
          <w:lang w:eastAsia="zh-CN"/>
        </w:rPr>
        <w:t>（</w:t>
      </w:r>
      <w:r>
        <w:rPr>
          <w:bCs/>
          <w:lang w:eastAsia="zh-CN"/>
        </w:rPr>
        <w:t>2</w:t>
      </w:r>
      <w:r>
        <w:rPr>
          <w:rFonts w:hint="eastAsia"/>
          <w:bCs/>
          <w:lang w:eastAsia="zh-CN"/>
        </w:rPr>
        <w:t>）</w:t>
      </w:r>
      <w:r>
        <w:rPr>
          <w:bCs/>
          <w:lang w:eastAsia="zh-CN"/>
        </w:rPr>
        <w:t>证券交易所上市的有价证券的估值</w:t>
      </w:r>
    </w:p>
    <w:p>
      <w:pPr>
        <w:ind w:firstLine="480" w:firstLineChars="200"/>
        <w:rPr>
          <w:bCs/>
          <w:lang w:eastAsia="zh-CN"/>
        </w:rPr>
      </w:pPr>
      <w:r>
        <w:rPr>
          <w:rFonts w:hint="eastAsia"/>
          <w:bCs/>
          <w:lang w:eastAsia="zh-CN"/>
        </w:rPr>
        <w:t>1</w:t>
      </w:r>
      <w:r>
        <w:rPr>
          <w:bCs/>
          <w:lang w:eastAsia="zh-CN"/>
        </w:rPr>
        <w:t>）交易所上市的有价证券</w:t>
      </w:r>
      <w:r>
        <w:rPr>
          <w:rFonts w:hint="eastAsia"/>
          <w:bCs/>
          <w:lang w:eastAsia="zh-CN"/>
        </w:rPr>
        <w:t>（</w:t>
      </w:r>
      <w:r>
        <w:rPr>
          <w:bCs/>
          <w:lang w:eastAsia="zh-CN"/>
        </w:rPr>
        <w:t>包括股票等</w:t>
      </w:r>
      <w:r>
        <w:rPr>
          <w:rFonts w:hint="eastAsia"/>
          <w:bCs/>
          <w:lang w:eastAsia="zh-CN"/>
        </w:rPr>
        <w:t>）</w:t>
      </w:r>
      <w:r>
        <w:rPr>
          <w:bCs/>
          <w:lang w:eastAsia="zh-CN"/>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ind w:firstLine="480" w:firstLineChars="200"/>
        <w:rPr>
          <w:bCs/>
          <w:lang w:eastAsia="zh-CN"/>
        </w:rPr>
      </w:pPr>
      <w:r>
        <w:rPr>
          <w:rFonts w:hint="eastAsia"/>
          <w:bCs/>
          <w:lang w:eastAsia="zh-CN"/>
        </w:rPr>
        <w:t>2</w:t>
      </w:r>
      <w:r>
        <w:rPr>
          <w:bCs/>
          <w:lang w:eastAsia="zh-CN"/>
        </w:rPr>
        <w:t>）交易所上市交易或挂牌转让的不含权固定收益品种，选取估值日第三方估值机构提供的相应品种当日的估值净价进行估值；</w:t>
      </w:r>
    </w:p>
    <w:p>
      <w:pPr>
        <w:ind w:firstLine="480" w:firstLineChars="200"/>
        <w:rPr>
          <w:bCs/>
          <w:lang w:eastAsia="zh-CN"/>
        </w:rPr>
      </w:pPr>
      <w:r>
        <w:rPr>
          <w:rFonts w:hint="eastAsia"/>
          <w:bCs/>
          <w:lang w:eastAsia="zh-CN"/>
        </w:rPr>
        <w:t>3</w:t>
      </w:r>
      <w:r>
        <w:rPr>
          <w:bCs/>
          <w:lang w:eastAsia="zh-CN"/>
        </w:rPr>
        <w:t>）交易所上市交易或挂牌转让的含权固定收益品种，选取估值日第三方估值机构提供的相应品种当日的唯一估值净价或推荐估值净价进行估值；</w:t>
      </w:r>
    </w:p>
    <w:p>
      <w:pPr>
        <w:ind w:firstLine="480" w:firstLineChars="200"/>
        <w:rPr>
          <w:bCs/>
          <w:lang w:eastAsia="zh-CN"/>
        </w:rPr>
      </w:pPr>
      <w:r>
        <w:rPr>
          <w:rFonts w:hint="eastAsia"/>
          <w:bCs/>
          <w:lang w:eastAsia="zh-CN"/>
        </w:rPr>
        <w:t>4）</w:t>
      </w:r>
      <w:r>
        <w:rPr>
          <w:bCs/>
          <w:lang w:eastAsia="zh-CN"/>
        </w:rPr>
        <w:t>交易所上市交易的可转换债券</w:t>
      </w:r>
      <w:r>
        <w:rPr>
          <w:rFonts w:hint="eastAsia"/>
          <w:bCs/>
          <w:lang w:eastAsia="zh-CN"/>
        </w:rPr>
        <w:t>以每日收盘价作为估值全价；</w:t>
      </w:r>
    </w:p>
    <w:p>
      <w:pPr>
        <w:ind w:firstLine="480" w:firstLineChars="200"/>
        <w:rPr>
          <w:bCs/>
          <w:lang w:eastAsia="zh-CN"/>
        </w:rPr>
      </w:pPr>
      <w:r>
        <w:rPr>
          <w:rFonts w:hint="eastAsia"/>
          <w:bCs/>
          <w:lang w:eastAsia="zh-CN"/>
        </w:rPr>
        <w:t>5）</w:t>
      </w:r>
      <w:r>
        <w:rPr>
          <w:bCs/>
          <w:lang w:eastAsia="zh-CN"/>
        </w:rPr>
        <w:t>交易所上市不存在活跃市场的有价证券，采用估值技术确定公允价值。</w:t>
      </w:r>
      <w:r>
        <w:rPr>
          <w:rFonts w:hint="eastAsia"/>
          <w:bCs/>
          <w:lang w:eastAsia="zh-CN"/>
        </w:rPr>
        <w:t>交易所市场挂牌转让</w:t>
      </w:r>
      <w:r>
        <w:rPr>
          <w:bCs/>
          <w:lang w:eastAsia="zh-CN"/>
        </w:rPr>
        <w:t>的资产支持证券，采用估值技术确定公允价值</w:t>
      </w:r>
      <w:r>
        <w:rPr>
          <w:rFonts w:hint="eastAsia"/>
          <w:bCs/>
          <w:lang w:eastAsia="zh-CN"/>
        </w:rPr>
        <w:t>；</w:t>
      </w:r>
    </w:p>
    <w:p>
      <w:pPr>
        <w:ind w:firstLine="480" w:firstLineChars="200"/>
        <w:rPr>
          <w:bCs/>
          <w:lang w:eastAsia="zh-CN"/>
        </w:rPr>
      </w:pPr>
      <w:r>
        <w:rPr>
          <w:bCs/>
          <w:lang w:eastAsia="zh-CN"/>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lang w:eastAsia="zh-CN"/>
        </w:rPr>
        <w:t>市场活动</w:t>
      </w:r>
      <w:r>
        <w:rPr>
          <w:bCs/>
          <w:lang w:eastAsia="zh-CN"/>
        </w:rPr>
        <w:t>或市场活动很少的情况下，应采用估值技术确定其公允价值。</w:t>
      </w:r>
    </w:p>
    <w:p>
      <w:pPr>
        <w:ind w:firstLine="480" w:firstLineChars="200"/>
        <w:rPr>
          <w:bCs/>
          <w:lang w:eastAsia="zh-CN"/>
        </w:rPr>
      </w:pPr>
      <w:r>
        <w:rPr>
          <w:rFonts w:hint="eastAsia"/>
          <w:bCs/>
          <w:lang w:eastAsia="zh-CN"/>
        </w:rPr>
        <w:t>（</w:t>
      </w:r>
      <w:r>
        <w:rPr>
          <w:bCs/>
          <w:lang w:eastAsia="zh-CN"/>
        </w:rPr>
        <w:t>3）处于未上市期间的有价证券应区分如下情况处理：</w:t>
      </w:r>
    </w:p>
    <w:p>
      <w:pPr>
        <w:ind w:firstLine="480" w:firstLineChars="200"/>
        <w:rPr>
          <w:bCs/>
          <w:lang w:eastAsia="zh-CN"/>
        </w:rPr>
      </w:pPr>
      <w:r>
        <w:rPr>
          <w:bCs/>
          <w:lang w:eastAsia="zh-CN"/>
        </w:rPr>
        <w:t>1）送股、转增股、配股和公开增发的新股，按估值日在证券交易所挂牌的同一股票的估值方法估值；该日无交易的，以最近一日的市价（收盘价）估值；</w:t>
      </w:r>
    </w:p>
    <w:p>
      <w:pPr>
        <w:ind w:firstLine="480" w:firstLineChars="200"/>
        <w:rPr>
          <w:bCs/>
          <w:lang w:eastAsia="zh-CN"/>
        </w:rPr>
      </w:pPr>
      <w:r>
        <w:rPr>
          <w:bCs/>
          <w:lang w:eastAsia="zh-CN"/>
        </w:rPr>
        <w:t>2）首次公开发行未上市的股票</w:t>
      </w:r>
      <w:r>
        <w:rPr>
          <w:rFonts w:hint="eastAsia"/>
          <w:bCs/>
          <w:lang w:eastAsia="zh-CN"/>
        </w:rPr>
        <w:t>和</w:t>
      </w:r>
      <w:r>
        <w:rPr>
          <w:bCs/>
          <w:lang w:eastAsia="zh-CN"/>
        </w:rPr>
        <w:t>债券，采用估值技术确定公允价值，在估值技术难以可靠计量公允价值的情况下，按成本估值</w:t>
      </w:r>
      <w:r>
        <w:rPr>
          <w:rFonts w:hint="eastAsia"/>
          <w:bCs/>
          <w:lang w:eastAsia="zh-CN"/>
        </w:rPr>
        <w:t>；</w:t>
      </w:r>
    </w:p>
    <w:p>
      <w:pPr>
        <w:ind w:firstLine="480" w:firstLineChars="200"/>
        <w:rPr>
          <w:bCs/>
          <w:lang w:eastAsia="zh-CN"/>
        </w:rPr>
      </w:pPr>
      <w:r>
        <w:rPr>
          <w:bCs/>
          <w:lang w:eastAsia="zh-CN"/>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ind w:firstLine="480" w:firstLineChars="200"/>
        <w:rPr>
          <w:bCs/>
          <w:lang w:eastAsia="zh-CN"/>
        </w:rPr>
      </w:pPr>
      <w:r>
        <w:rPr>
          <w:rFonts w:hint="eastAsia"/>
          <w:bCs/>
          <w:lang w:eastAsia="zh-CN"/>
        </w:rPr>
        <w:t>（</w:t>
      </w:r>
      <w:r>
        <w:rPr>
          <w:bCs/>
          <w:lang w:eastAsia="zh-CN"/>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lang w:eastAsia="zh-CN"/>
        </w:rPr>
        <w:t>期</w:t>
      </w:r>
      <w:r>
        <w:rPr>
          <w:bCs/>
          <w:lang w:eastAsia="zh-CN"/>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ind w:firstLine="480" w:firstLineChars="200"/>
        <w:rPr>
          <w:bCs/>
          <w:lang w:eastAsia="zh-CN"/>
        </w:rPr>
      </w:pPr>
      <w:r>
        <w:rPr>
          <w:rFonts w:hint="eastAsia"/>
          <w:bCs/>
          <w:lang w:eastAsia="zh-CN"/>
        </w:rPr>
        <w:t>（5）本基金投资同业存单，按估值日第三方估值机构提供的估值净价估值；选定的第三方估值机构未提供估值价格的，按成本估值。</w:t>
      </w:r>
    </w:p>
    <w:p>
      <w:pPr>
        <w:ind w:firstLine="480" w:firstLineChars="200"/>
        <w:rPr>
          <w:bCs/>
          <w:lang w:eastAsia="zh-CN"/>
        </w:rPr>
      </w:pPr>
      <w:r>
        <w:rPr>
          <w:rFonts w:hint="eastAsia"/>
          <w:bCs/>
          <w:lang w:eastAsia="zh-CN"/>
        </w:rPr>
        <w:t>（6）同一证券或</w:t>
      </w:r>
      <w:r>
        <w:rPr>
          <w:bCs/>
          <w:lang w:eastAsia="zh-CN"/>
        </w:rPr>
        <w:t>基金</w:t>
      </w:r>
      <w:r>
        <w:rPr>
          <w:rFonts w:hint="eastAsia"/>
          <w:bCs/>
          <w:lang w:eastAsia="zh-CN"/>
        </w:rPr>
        <w:t>同时在两个或两个以上市场交易的，按证券或</w:t>
      </w:r>
      <w:r>
        <w:rPr>
          <w:bCs/>
          <w:lang w:eastAsia="zh-CN"/>
        </w:rPr>
        <w:t>基金</w:t>
      </w:r>
      <w:r>
        <w:rPr>
          <w:rFonts w:hint="eastAsia"/>
          <w:bCs/>
          <w:lang w:eastAsia="zh-CN"/>
        </w:rPr>
        <w:t>所处的市场分别估值。</w:t>
      </w:r>
    </w:p>
    <w:p>
      <w:pPr>
        <w:ind w:firstLine="480" w:firstLineChars="200"/>
        <w:rPr>
          <w:bCs/>
          <w:lang w:eastAsia="zh-CN"/>
        </w:rPr>
      </w:pPr>
      <w:r>
        <w:rPr>
          <w:rFonts w:hint="eastAsia"/>
          <w:bCs/>
          <w:lang w:eastAsia="zh-CN"/>
        </w:rPr>
        <w:t>（7）本基金采用第三方估值机构按照上述公允价值确定原则提供的数据估值。</w:t>
      </w:r>
    </w:p>
    <w:p>
      <w:pPr>
        <w:ind w:firstLine="480" w:firstLineChars="200"/>
        <w:rPr>
          <w:bCs/>
          <w:lang w:eastAsia="zh-CN"/>
        </w:rPr>
      </w:pPr>
      <w:r>
        <w:rPr>
          <w:rFonts w:hint="eastAsia"/>
          <w:bCs/>
          <w:lang w:eastAsia="zh-CN"/>
        </w:rPr>
        <w:t>（</w:t>
      </w:r>
      <w:r>
        <w:rPr>
          <w:bCs/>
          <w:lang w:eastAsia="zh-CN"/>
        </w:rPr>
        <w:t>8）如有确凿证据表明按上述方法进行估值不能客观反映其公允价值的，基金管理人可根据具体情况与基金托管人商定后，按最能反映公允价值的价格估值。</w:t>
      </w:r>
    </w:p>
    <w:p>
      <w:pPr>
        <w:ind w:firstLine="480" w:firstLineChars="200"/>
        <w:rPr>
          <w:bCs/>
          <w:lang w:eastAsia="zh-CN"/>
        </w:rPr>
      </w:pPr>
      <w:r>
        <w:rPr>
          <w:rFonts w:hint="eastAsia"/>
          <w:bCs/>
          <w:lang w:eastAsia="zh-CN"/>
        </w:rPr>
        <w:t>（</w:t>
      </w:r>
      <w:r>
        <w:rPr>
          <w:bCs/>
          <w:lang w:eastAsia="zh-CN"/>
        </w:rPr>
        <w:t>9）当发生大额申购或赎回情形时，基金管理人可以采用摆动定价机制，以确保基金估值的公平性。</w:t>
      </w:r>
    </w:p>
    <w:p>
      <w:pPr>
        <w:ind w:firstLine="480" w:firstLineChars="200"/>
        <w:rPr>
          <w:bCs/>
          <w:lang w:eastAsia="zh-CN"/>
        </w:rPr>
      </w:pPr>
      <w:r>
        <w:rPr>
          <w:rFonts w:hint="eastAsia"/>
          <w:bCs/>
          <w:lang w:eastAsia="zh-CN"/>
        </w:rPr>
        <w:t>（10）</w:t>
      </w:r>
      <w:r>
        <w:rPr>
          <w:bCs/>
          <w:lang w:eastAsia="zh-CN"/>
        </w:rPr>
        <w:t>相关法律法规以及监管部门有强制规定的，从其规定。如有新增事项，按国家最新规定估值。</w:t>
      </w:r>
    </w:p>
    <w:p>
      <w:pPr>
        <w:ind w:firstLine="480" w:firstLineChars="200"/>
        <w:rPr>
          <w:rStyle w:val="29"/>
          <w:bCs/>
          <w:lang w:eastAsia="zh-CN"/>
        </w:rPr>
      </w:pPr>
      <w:r>
        <w:rPr>
          <w:rStyle w:val="29"/>
          <w:bCs/>
          <w:lang w:eastAsia="zh-CN"/>
        </w:rPr>
        <w:t>如基金管理人或基金托管人发现基金估值违反基金合同订明的估值方法、程序及相关法律法规的规定或者未能充分维护基金份额持有人利益时，应立即通知对方，共同查明原因，双方协商解决。</w:t>
      </w:r>
    </w:p>
    <w:p>
      <w:pPr>
        <w:ind w:firstLine="480" w:firstLineChars="200"/>
        <w:rPr>
          <w:bCs/>
          <w:lang w:eastAsia="zh-CN"/>
        </w:rPr>
      </w:pPr>
      <w:r>
        <w:rPr>
          <w:bCs/>
          <w:lang w:eastAsia="zh-CN"/>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pPr>
        <w:ind w:firstLine="480"/>
        <w:rPr>
          <w:lang w:eastAsia="zh-CN"/>
        </w:rPr>
      </w:pPr>
      <w:r>
        <w:rPr>
          <w:lang w:eastAsia="zh-CN"/>
        </w:rPr>
        <w:t>3</w:t>
      </w:r>
      <w:r>
        <w:rPr>
          <w:rFonts w:hint="eastAsia"/>
          <w:lang w:eastAsia="zh-CN"/>
        </w:rPr>
        <w:t>．特殊情形的处理</w:t>
      </w:r>
    </w:p>
    <w:p>
      <w:pPr>
        <w:ind w:firstLine="480"/>
        <w:rPr>
          <w:lang w:eastAsia="zh-CN"/>
        </w:rPr>
      </w:pPr>
      <w:r>
        <w:rPr>
          <w:rFonts w:hint="eastAsia"/>
          <w:lang w:eastAsia="zh-CN"/>
        </w:rPr>
        <w:t>基金管理人、基金托管人按第</w:t>
      </w:r>
      <w:r>
        <w:rPr>
          <w:lang w:eastAsia="zh-CN"/>
        </w:rPr>
        <w:t>2</w:t>
      </w:r>
      <w:r>
        <w:rPr>
          <w:rFonts w:hint="eastAsia"/>
          <w:lang w:eastAsia="zh-CN"/>
        </w:rPr>
        <w:t>条第（</w:t>
      </w:r>
      <w:r>
        <w:rPr>
          <w:lang w:eastAsia="zh-CN"/>
        </w:rPr>
        <w:t>8</w:t>
      </w:r>
      <w:r>
        <w:rPr>
          <w:rFonts w:hint="eastAsia"/>
          <w:lang w:eastAsia="zh-CN"/>
        </w:rPr>
        <w:t>）款进行估值时，所造成的误差不作为基金份额净值错误处理。</w:t>
      </w:r>
    </w:p>
    <w:p>
      <w:pPr>
        <w:ind w:firstLine="480"/>
        <w:rPr>
          <w:lang w:eastAsia="zh-CN"/>
        </w:rPr>
      </w:pPr>
      <w:r>
        <w:rPr>
          <w:rFonts w:hint="eastAsia"/>
          <w:lang w:eastAsia="zh-CN"/>
        </w:rPr>
        <w:t>由于不可抗力原因，</w:t>
      </w:r>
      <w:r>
        <w:rPr>
          <w:bCs/>
          <w:lang w:eastAsia="zh-CN"/>
        </w:rPr>
        <w:t>或</w:t>
      </w:r>
      <w:r>
        <w:rPr>
          <w:rFonts w:hint="eastAsia"/>
          <w:bCs/>
          <w:lang w:eastAsia="zh-CN"/>
        </w:rPr>
        <w:t>由于</w:t>
      </w:r>
      <w:r>
        <w:rPr>
          <w:bCs/>
          <w:lang w:eastAsia="zh-CN"/>
        </w:rPr>
        <w:t>证券交易所、登记机构及存款银行</w:t>
      </w:r>
      <w:r>
        <w:rPr>
          <w:rFonts w:hint="eastAsia"/>
          <w:bCs/>
          <w:lang w:eastAsia="zh-CN"/>
        </w:rPr>
        <w:t>或</w:t>
      </w:r>
      <w:r>
        <w:rPr>
          <w:bCs/>
          <w:lang w:eastAsia="zh-CN"/>
        </w:rPr>
        <w:t>第三方</w:t>
      </w:r>
      <w:r>
        <w:rPr>
          <w:rFonts w:hint="eastAsia"/>
          <w:bCs/>
          <w:lang w:eastAsia="zh-CN"/>
        </w:rPr>
        <w:t>估值</w:t>
      </w:r>
      <w:r>
        <w:rPr>
          <w:bCs/>
          <w:lang w:eastAsia="zh-CN"/>
        </w:rPr>
        <w:t>机构发送的数据错误，或国家会计政策变更、市场规则变更等非基金管理人与基金托管人原因，</w:t>
      </w:r>
      <w:r>
        <w:rPr>
          <w:rFonts w:hint="eastAsia"/>
          <w:lang w:eastAsia="zh-CN"/>
        </w:rPr>
        <w:t>基金管理人和基金托管人虽然已经采取必要、适当、合理的措施进行检查，但未能发现错误的，由此造成的基金财产估值错误，基金管理人和基金托管人免除赔偿责任。但基金管理人、</w:t>
      </w:r>
      <w:r>
        <w:rPr>
          <w:lang w:eastAsia="zh-CN"/>
        </w:rPr>
        <w:t>基金托管人</w:t>
      </w:r>
      <w:r>
        <w:rPr>
          <w:rFonts w:hint="eastAsia"/>
          <w:lang w:eastAsia="zh-CN"/>
        </w:rPr>
        <w:t>应当积极采取必要的措施消除或减轻由此造成的影响。</w:t>
      </w:r>
    </w:p>
    <w:p>
      <w:pPr>
        <w:ind w:firstLine="480"/>
        <w:rPr>
          <w:lang w:eastAsia="zh-CN"/>
        </w:rPr>
      </w:pPr>
      <w:r>
        <w:rPr>
          <w:rFonts w:hint="eastAsia"/>
          <w:lang w:eastAsia="zh-CN"/>
        </w:rPr>
        <w:t>（三）估值错误的处理方式</w:t>
      </w:r>
    </w:p>
    <w:p>
      <w:pPr>
        <w:ind w:firstLine="480" w:firstLineChars="200"/>
        <w:rPr>
          <w:bCs/>
          <w:lang w:eastAsia="zh-CN"/>
        </w:rPr>
      </w:pPr>
      <w:r>
        <w:rPr>
          <w:bCs/>
          <w:lang w:eastAsia="zh-CN"/>
        </w:rPr>
        <w:t>基金管理人和基金托管人将采取必要、适当、合理的措施确保基金资产估值的准确性、及时性。当基金份额净值小数点后4位以内（含第4位）发生估值错误时，视为基金份额净值错误。</w:t>
      </w:r>
    </w:p>
    <w:p>
      <w:pPr>
        <w:ind w:firstLine="480" w:firstLineChars="200"/>
        <w:rPr>
          <w:bCs/>
          <w:lang w:eastAsia="zh-CN"/>
        </w:rPr>
      </w:pPr>
      <w:r>
        <w:rPr>
          <w:bCs/>
          <w:lang w:eastAsia="zh-CN"/>
        </w:rPr>
        <w:t>本</w:t>
      </w:r>
      <w:r>
        <w:rPr>
          <w:rFonts w:hint="eastAsia"/>
          <w:bCs/>
          <w:lang w:eastAsia="zh-CN"/>
        </w:rPr>
        <w:t>托管协议</w:t>
      </w:r>
      <w:r>
        <w:rPr>
          <w:bCs/>
          <w:lang w:eastAsia="zh-CN"/>
        </w:rPr>
        <w:t>的当事人应按照以下约定处理：</w:t>
      </w:r>
    </w:p>
    <w:p>
      <w:pPr>
        <w:ind w:firstLine="480" w:firstLineChars="200"/>
        <w:rPr>
          <w:bCs/>
          <w:lang w:eastAsia="zh-CN"/>
        </w:rPr>
      </w:pPr>
      <w:r>
        <w:rPr>
          <w:bCs/>
          <w:lang w:eastAsia="zh-CN"/>
        </w:rPr>
        <w:t>1、估值错误类型</w:t>
      </w:r>
    </w:p>
    <w:p>
      <w:pPr>
        <w:ind w:firstLine="480" w:firstLineChars="200"/>
        <w:rPr>
          <w:bCs/>
          <w:lang w:eastAsia="zh-CN"/>
        </w:rPr>
      </w:pPr>
      <w:r>
        <w:rPr>
          <w:bCs/>
          <w:lang w:eastAsia="zh-CN"/>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ind w:firstLine="480" w:firstLineChars="200"/>
        <w:rPr>
          <w:bCs/>
          <w:lang w:eastAsia="zh-CN"/>
        </w:rPr>
      </w:pPr>
      <w:r>
        <w:rPr>
          <w:bCs/>
          <w:lang w:eastAsia="zh-CN"/>
        </w:rPr>
        <w:t>上述估值错误的主要类型包括但不限于：资料申报差错、数据传输差错、数据计算差错、系统故障差错、下达指令差错等。</w:t>
      </w:r>
    </w:p>
    <w:p>
      <w:pPr>
        <w:ind w:firstLine="480" w:firstLineChars="200"/>
        <w:rPr>
          <w:bCs/>
          <w:lang w:eastAsia="zh-CN"/>
        </w:rPr>
      </w:pPr>
      <w:r>
        <w:rPr>
          <w:bCs/>
          <w:lang w:eastAsia="zh-CN"/>
        </w:rPr>
        <w:t>2、估值错误处理原则</w:t>
      </w:r>
    </w:p>
    <w:p>
      <w:pPr>
        <w:ind w:firstLine="480" w:firstLineChars="200"/>
        <w:rPr>
          <w:bCs/>
          <w:lang w:eastAsia="zh-CN"/>
        </w:rPr>
      </w:pPr>
      <w:r>
        <w:rPr>
          <w:bCs/>
          <w:lang w:eastAsia="zh-CN"/>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ind w:firstLine="480" w:firstLineChars="200"/>
        <w:rPr>
          <w:bCs/>
          <w:lang w:eastAsia="zh-CN"/>
        </w:rPr>
      </w:pPr>
      <w:r>
        <w:rPr>
          <w:bCs/>
          <w:lang w:eastAsia="zh-CN"/>
        </w:rPr>
        <w:t>（2）估值错误的责任方对有关当事人的直接损失负责，不对间接损失负责，并且仅对估值错误的有关直接当事人负责，不对第三方负责。</w:t>
      </w:r>
    </w:p>
    <w:p>
      <w:pPr>
        <w:ind w:firstLine="480" w:firstLineChars="200"/>
        <w:rPr>
          <w:bCs/>
          <w:lang w:eastAsia="zh-CN"/>
        </w:rPr>
      </w:pPr>
      <w:r>
        <w:rPr>
          <w:bCs/>
          <w:lang w:eastAsia="zh-CN"/>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ind w:firstLine="480" w:firstLineChars="200"/>
        <w:rPr>
          <w:bCs/>
          <w:lang w:eastAsia="zh-CN"/>
        </w:rPr>
      </w:pPr>
      <w:r>
        <w:rPr>
          <w:bCs/>
          <w:lang w:eastAsia="zh-CN"/>
        </w:rPr>
        <w:t>（4）估值错误调整采用尽量恢复至假设未发生估值错误的正确情形的方式。</w:t>
      </w:r>
    </w:p>
    <w:p>
      <w:pPr>
        <w:ind w:firstLine="480" w:firstLineChars="200"/>
        <w:rPr>
          <w:bCs/>
          <w:lang w:eastAsia="zh-CN"/>
        </w:rPr>
      </w:pPr>
      <w:r>
        <w:rPr>
          <w:bCs/>
          <w:lang w:eastAsia="zh-CN"/>
        </w:rPr>
        <w:t>3、估值错误处理程序</w:t>
      </w:r>
    </w:p>
    <w:p>
      <w:pPr>
        <w:ind w:firstLine="480" w:firstLineChars="200"/>
        <w:rPr>
          <w:bCs/>
          <w:lang w:eastAsia="zh-CN"/>
        </w:rPr>
      </w:pPr>
      <w:r>
        <w:rPr>
          <w:bCs/>
          <w:lang w:eastAsia="zh-CN"/>
        </w:rPr>
        <w:t>估值错误被发现后，有关的当事人应当及时进行处理，处理的程序如下：</w:t>
      </w:r>
    </w:p>
    <w:p>
      <w:pPr>
        <w:ind w:firstLine="480" w:firstLineChars="200"/>
        <w:rPr>
          <w:bCs/>
          <w:lang w:eastAsia="zh-CN"/>
        </w:rPr>
      </w:pPr>
      <w:r>
        <w:rPr>
          <w:bCs/>
          <w:lang w:eastAsia="zh-CN"/>
        </w:rPr>
        <w:t>（1）查明估值错误发生的原因，列明所有的当事人，并根据估值错误发生的原因确定估值错误的责任方；</w:t>
      </w:r>
    </w:p>
    <w:p>
      <w:pPr>
        <w:ind w:firstLine="480" w:firstLineChars="200"/>
        <w:rPr>
          <w:bCs/>
          <w:lang w:eastAsia="zh-CN"/>
        </w:rPr>
      </w:pPr>
      <w:r>
        <w:rPr>
          <w:bCs/>
          <w:lang w:eastAsia="zh-CN"/>
        </w:rPr>
        <w:t>（2）根据估值错误处理原则或当事人协商的方法对因估值错误造成的损失进行评估；</w:t>
      </w:r>
    </w:p>
    <w:p>
      <w:pPr>
        <w:ind w:firstLine="480" w:firstLineChars="200"/>
        <w:rPr>
          <w:bCs/>
          <w:lang w:eastAsia="zh-CN"/>
        </w:rPr>
      </w:pPr>
      <w:r>
        <w:rPr>
          <w:bCs/>
          <w:lang w:eastAsia="zh-CN"/>
        </w:rPr>
        <w:t>（3）根据估值错误处理原则或当事人协商的方法由估值错误的责任方进行更正和赔偿损失；</w:t>
      </w:r>
    </w:p>
    <w:p>
      <w:pPr>
        <w:ind w:firstLine="480" w:firstLineChars="200"/>
        <w:rPr>
          <w:bCs/>
          <w:lang w:eastAsia="zh-CN"/>
        </w:rPr>
      </w:pPr>
      <w:r>
        <w:rPr>
          <w:bCs/>
          <w:lang w:eastAsia="zh-CN"/>
        </w:rPr>
        <w:t>（4）根据估值错误处理的方法，需要修改基金登记机构交易数据的，由基金登记机构进行更正，并就估值错误的更正向有关当事人进行确认。</w:t>
      </w:r>
    </w:p>
    <w:p>
      <w:pPr>
        <w:ind w:firstLine="480" w:firstLineChars="200"/>
        <w:rPr>
          <w:bCs/>
          <w:lang w:eastAsia="zh-CN"/>
        </w:rPr>
      </w:pPr>
      <w:r>
        <w:rPr>
          <w:bCs/>
          <w:lang w:eastAsia="zh-CN"/>
        </w:rPr>
        <w:t>4、基金份额净值估值错误处理的方法如下：</w:t>
      </w:r>
    </w:p>
    <w:p>
      <w:pPr>
        <w:ind w:firstLine="480" w:firstLineChars="200"/>
        <w:rPr>
          <w:bCs/>
          <w:lang w:eastAsia="zh-CN"/>
        </w:rPr>
      </w:pPr>
      <w:r>
        <w:rPr>
          <w:bCs/>
          <w:lang w:eastAsia="zh-CN"/>
        </w:rPr>
        <w:t>（1）基金份额净值计算出现错误时，基金管理人应当立即予以纠正，通报基金托管人，并采取合理的措施防止损失进一步扩大。</w:t>
      </w:r>
    </w:p>
    <w:p>
      <w:pPr>
        <w:ind w:firstLine="480" w:firstLineChars="200"/>
        <w:rPr>
          <w:bCs/>
          <w:lang w:eastAsia="zh-CN"/>
        </w:rPr>
      </w:pPr>
      <w:r>
        <w:rPr>
          <w:bCs/>
          <w:lang w:eastAsia="zh-CN"/>
        </w:rPr>
        <w:t>（2）错误偏差达到基金份额净值的0.25%时，基金管理人应当通报基金托管人并报中国证监会备案；错误偏差达到基金份额净值的0.5%时，基金管理人应当公告</w:t>
      </w:r>
      <w:r>
        <w:rPr>
          <w:rFonts w:hint="eastAsia"/>
          <w:bCs/>
          <w:lang w:eastAsia="zh-CN"/>
        </w:rPr>
        <w:t>并</w:t>
      </w:r>
      <w:r>
        <w:rPr>
          <w:bCs/>
          <w:lang w:eastAsia="zh-CN"/>
        </w:rPr>
        <w:t>报中国证监会备案。</w:t>
      </w:r>
    </w:p>
    <w:p>
      <w:pPr>
        <w:ind w:firstLine="480" w:firstLineChars="200"/>
        <w:rPr>
          <w:bCs/>
          <w:lang w:eastAsia="zh-CN"/>
        </w:rPr>
      </w:pPr>
      <w:r>
        <w:rPr>
          <w:rFonts w:hint="eastAsia"/>
          <w:bCs/>
          <w:lang w:eastAsia="zh-CN"/>
        </w:rPr>
        <w:t>（3）基金管理人和基金托管人由于各自技术系统设置而产生的净值计算尾差，以基金管理人计算结果为准。</w:t>
      </w:r>
    </w:p>
    <w:p>
      <w:pPr>
        <w:ind w:firstLine="480"/>
        <w:rPr>
          <w:lang w:eastAsia="zh-CN"/>
        </w:rPr>
      </w:pPr>
      <w:r>
        <w:rPr>
          <w:bCs/>
          <w:lang w:eastAsia="zh-CN"/>
        </w:rPr>
        <w:t>（4）前述内容如法律法规或监管机关另有规定的，从其规定处理。</w:t>
      </w:r>
    </w:p>
    <w:p>
      <w:pPr>
        <w:ind w:firstLine="480"/>
        <w:rPr>
          <w:lang w:eastAsia="zh-CN"/>
        </w:rPr>
      </w:pPr>
      <w:r>
        <w:rPr>
          <w:rFonts w:hint="eastAsia"/>
          <w:lang w:eastAsia="zh-CN"/>
        </w:rPr>
        <w:t>（四）暂停估值的情形</w:t>
      </w:r>
    </w:p>
    <w:p>
      <w:pPr>
        <w:ind w:firstLine="480"/>
        <w:rPr>
          <w:lang w:eastAsia="zh-CN"/>
        </w:rPr>
      </w:pPr>
      <w:r>
        <w:rPr>
          <w:lang w:eastAsia="zh-CN"/>
        </w:rPr>
        <w:t>1</w:t>
      </w:r>
      <w:r>
        <w:rPr>
          <w:rFonts w:hint="eastAsia"/>
          <w:lang w:eastAsia="zh-CN"/>
        </w:rPr>
        <w:t>．基金投资所涉及的证券交易市场遇法定节假日或因其他原因暂停营业时；</w:t>
      </w:r>
    </w:p>
    <w:p>
      <w:pPr>
        <w:ind w:firstLine="480"/>
        <w:rPr>
          <w:lang w:eastAsia="zh-CN"/>
        </w:rPr>
      </w:pPr>
      <w:r>
        <w:rPr>
          <w:lang w:eastAsia="zh-CN"/>
        </w:rPr>
        <w:t>2</w:t>
      </w:r>
      <w:r>
        <w:rPr>
          <w:rFonts w:hint="eastAsia"/>
          <w:lang w:eastAsia="zh-CN"/>
        </w:rPr>
        <w:t>．因不可抗力</w:t>
      </w:r>
      <w:r>
        <w:rPr>
          <w:rFonts w:hint="eastAsia"/>
          <w:bCs/>
          <w:lang w:eastAsia="zh-CN"/>
        </w:rPr>
        <w:t>或其他情形</w:t>
      </w:r>
      <w:r>
        <w:rPr>
          <w:rFonts w:hint="eastAsia"/>
          <w:lang w:eastAsia="zh-CN"/>
        </w:rPr>
        <w:t>致使基金管理人、基金托管人无法准确评估基金资产价值时；</w:t>
      </w:r>
    </w:p>
    <w:p>
      <w:pPr>
        <w:ind w:firstLine="480" w:firstLineChars="200"/>
        <w:rPr>
          <w:bCs/>
          <w:lang w:eastAsia="zh-CN"/>
        </w:rPr>
      </w:pPr>
      <w:r>
        <w:rPr>
          <w:rFonts w:hint="eastAsia"/>
          <w:lang w:eastAsia="zh-CN"/>
        </w:rPr>
        <w:t>3.</w:t>
      </w:r>
      <w:r>
        <w:rPr>
          <w:rFonts w:hint="eastAsia"/>
          <w:bCs/>
          <w:lang w:eastAsia="zh-CN"/>
        </w:rPr>
        <w:t>当前一估值日基金资产净值</w:t>
      </w:r>
      <w:r>
        <w:rPr>
          <w:bCs/>
          <w:lang w:eastAsia="zh-CN"/>
        </w:rPr>
        <w:t>50%</w:t>
      </w:r>
      <w:r>
        <w:rPr>
          <w:rFonts w:hint="eastAsia"/>
          <w:bCs/>
          <w:lang w:eastAsia="zh-CN"/>
        </w:rPr>
        <w:t>以上的资产出现无可参考的活跃市场价格且采用估值技术仍导致公允价值存在重大不确定性时，经与基金托管人协商确认后，基金管理人应当暂停估值；</w:t>
      </w:r>
    </w:p>
    <w:p>
      <w:pPr>
        <w:ind w:firstLine="480" w:firstLineChars="200"/>
        <w:rPr>
          <w:bCs/>
          <w:lang w:eastAsia="zh-CN"/>
        </w:rPr>
      </w:pPr>
      <w:r>
        <w:rPr>
          <w:bCs/>
          <w:lang w:eastAsia="zh-CN"/>
        </w:rPr>
        <w:t>4</w:t>
      </w:r>
      <w:r>
        <w:rPr>
          <w:rFonts w:hint="eastAsia"/>
          <w:bCs/>
          <w:lang w:eastAsia="zh-CN"/>
        </w:rPr>
        <w:t>.占相当比例的被投资基金暂停估值时；</w:t>
      </w:r>
    </w:p>
    <w:p>
      <w:pPr>
        <w:ind w:firstLine="480"/>
        <w:rPr>
          <w:lang w:eastAsia="zh-CN"/>
        </w:rPr>
      </w:pPr>
      <w:r>
        <w:rPr>
          <w:lang w:eastAsia="zh-CN"/>
        </w:rPr>
        <w:t>5</w:t>
      </w:r>
      <w:r>
        <w:rPr>
          <w:rFonts w:hint="eastAsia"/>
          <w:lang w:eastAsia="zh-CN"/>
        </w:rPr>
        <w:t>．</w:t>
      </w:r>
      <w:r>
        <w:rPr>
          <w:rFonts w:hint="eastAsia"/>
          <w:bCs/>
          <w:lang w:eastAsia="zh-CN"/>
        </w:rPr>
        <w:t>法律法规规定、</w:t>
      </w:r>
      <w:r>
        <w:rPr>
          <w:rFonts w:hint="eastAsia"/>
          <w:lang w:eastAsia="zh-CN"/>
        </w:rPr>
        <w:t>中国证监会和基金合同认定的其他情形。</w:t>
      </w:r>
    </w:p>
    <w:p>
      <w:pPr>
        <w:ind w:firstLine="480"/>
        <w:rPr>
          <w:lang w:eastAsia="zh-CN"/>
        </w:rPr>
      </w:pPr>
      <w:r>
        <w:rPr>
          <w:rFonts w:hint="eastAsia"/>
          <w:lang w:eastAsia="zh-CN"/>
        </w:rPr>
        <w:t>（五）基金会计制度</w:t>
      </w:r>
    </w:p>
    <w:p>
      <w:pPr>
        <w:ind w:firstLine="480"/>
        <w:rPr>
          <w:lang w:eastAsia="zh-CN"/>
        </w:rPr>
      </w:pPr>
      <w:r>
        <w:rPr>
          <w:rFonts w:hint="eastAsia"/>
          <w:lang w:eastAsia="zh-CN"/>
        </w:rPr>
        <w:t>按国家有关部门规定的会计制度执行。</w:t>
      </w:r>
    </w:p>
    <w:p>
      <w:pPr>
        <w:ind w:firstLine="480"/>
        <w:rPr>
          <w:lang w:eastAsia="zh-CN"/>
        </w:rPr>
      </w:pPr>
      <w:r>
        <w:rPr>
          <w:rFonts w:hint="eastAsia"/>
          <w:lang w:eastAsia="zh-CN"/>
        </w:rPr>
        <w:t>（六）基金账册的建立</w:t>
      </w:r>
    </w:p>
    <w:p>
      <w:pPr>
        <w:ind w:firstLine="480"/>
        <w:rPr>
          <w:lang w:eastAsia="zh-CN"/>
        </w:rPr>
      </w:pPr>
      <w:r>
        <w:rPr>
          <w:rFonts w:hint="eastAsia"/>
          <w:lang w:eastAsia="zh-CN"/>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净值的计算和公告的，以基金管理人的账册为准。</w:t>
      </w:r>
    </w:p>
    <w:p>
      <w:pPr>
        <w:ind w:firstLine="480"/>
        <w:rPr>
          <w:lang w:eastAsia="zh-CN"/>
        </w:rPr>
      </w:pPr>
      <w:r>
        <w:rPr>
          <w:rFonts w:hint="eastAsia"/>
          <w:lang w:eastAsia="zh-CN"/>
        </w:rPr>
        <w:t>（七）基金财务报表与报告的编制和复核</w:t>
      </w:r>
    </w:p>
    <w:p>
      <w:pPr>
        <w:ind w:firstLine="480"/>
        <w:rPr>
          <w:lang w:eastAsia="zh-CN"/>
        </w:rPr>
      </w:pPr>
      <w:r>
        <w:rPr>
          <w:lang w:eastAsia="zh-CN"/>
        </w:rPr>
        <w:t>1</w:t>
      </w:r>
      <w:r>
        <w:rPr>
          <w:rFonts w:hint="eastAsia"/>
          <w:lang w:eastAsia="zh-CN"/>
        </w:rPr>
        <w:t>．财务报表的编制</w:t>
      </w:r>
    </w:p>
    <w:p>
      <w:pPr>
        <w:ind w:firstLine="480"/>
        <w:rPr>
          <w:lang w:eastAsia="zh-CN"/>
        </w:rPr>
      </w:pPr>
      <w:r>
        <w:rPr>
          <w:rFonts w:hint="eastAsia"/>
          <w:lang w:eastAsia="zh-CN"/>
        </w:rPr>
        <w:t>基金管理人应当及时编制并对外提供真实、完整的基金财务会计报告。</w:t>
      </w:r>
    </w:p>
    <w:p>
      <w:pPr>
        <w:ind w:firstLine="480"/>
        <w:rPr>
          <w:lang w:eastAsia="zh-CN"/>
        </w:rPr>
      </w:pPr>
      <w:r>
        <w:rPr>
          <w:rFonts w:hint="eastAsia"/>
          <w:lang w:eastAsia="zh-CN"/>
        </w:rPr>
        <w:t>基金管理人应当在每年结束之日起三个月内，编制完成基金年度报告，将年度报告登载于指定网站上，并将年度报告提示性公告登载在指定报刊上。基金年度报告中的财务会计报告应当经过具有证券、期货相关业务资格的会计师事务所审计。</w:t>
      </w:r>
    </w:p>
    <w:p>
      <w:pPr>
        <w:ind w:firstLine="480"/>
        <w:rPr>
          <w:lang w:eastAsia="zh-CN"/>
        </w:rPr>
      </w:pPr>
      <w:r>
        <w:rPr>
          <w:rFonts w:hint="eastAsia"/>
          <w:lang w:eastAsia="zh-CN"/>
        </w:rPr>
        <w:t>基金管理人应当在上半年结束之日起两个月内，编制完成基金中期报告，将中期报告登载在指定网站上，并将中期报告提示性公告登载在指定报刊上。</w:t>
      </w:r>
    </w:p>
    <w:p>
      <w:pPr>
        <w:ind w:firstLine="480"/>
        <w:rPr>
          <w:lang w:eastAsia="zh-CN"/>
        </w:rPr>
      </w:pPr>
      <w:r>
        <w:rPr>
          <w:rFonts w:hint="eastAsia"/>
          <w:lang w:eastAsia="zh-CN"/>
        </w:rPr>
        <w:t>基金管理人应当在季度结束之日起</w:t>
      </w:r>
      <w:r>
        <w:rPr>
          <w:lang w:eastAsia="zh-CN"/>
        </w:rPr>
        <w:t>15个工作日内，编制完成基金季度报告，将季度报告登载在指定网站上，并将季度报告提示性公告登载在指定报刊上。</w:t>
      </w:r>
    </w:p>
    <w:p>
      <w:pPr>
        <w:ind w:firstLine="480"/>
        <w:rPr>
          <w:lang w:eastAsia="zh-CN"/>
        </w:rPr>
      </w:pPr>
      <w:r>
        <w:rPr>
          <w:rFonts w:hint="eastAsia"/>
          <w:lang w:eastAsia="zh-CN"/>
        </w:rPr>
        <w:t>《基金合同》生效不足</w:t>
      </w:r>
      <w:r>
        <w:rPr>
          <w:lang w:eastAsia="zh-CN"/>
        </w:rPr>
        <w:t>2个月的，基金管理人可以不编制当期季度报告、中期报告或者年度报告。</w:t>
      </w:r>
    </w:p>
    <w:p>
      <w:pPr>
        <w:ind w:firstLine="480"/>
        <w:rPr>
          <w:lang w:eastAsia="zh-CN"/>
        </w:rPr>
      </w:pPr>
      <w:r>
        <w:rPr>
          <w:lang w:eastAsia="zh-CN"/>
        </w:rPr>
        <w:t>2</w:t>
      </w:r>
      <w:r>
        <w:rPr>
          <w:rFonts w:hint="eastAsia"/>
          <w:lang w:eastAsia="zh-CN"/>
        </w:rPr>
        <w:t>．报表复核</w:t>
      </w:r>
    </w:p>
    <w:p>
      <w:pPr>
        <w:ind w:firstLine="480"/>
        <w:rPr>
          <w:lang w:eastAsia="zh-CN"/>
        </w:rPr>
      </w:pPr>
      <w:r>
        <w:rPr>
          <w:rFonts w:hint="eastAsia"/>
          <w:lang w:eastAsia="zh-CN"/>
        </w:rPr>
        <w:t>基金管理人在季度报告完成当日，将有关报告提供给基金托管人复核，基金托管人应在收到后</w:t>
      </w:r>
      <w:r>
        <w:rPr>
          <w:lang w:eastAsia="zh-CN"/>
        </w:rPr>
        <w:t>7</w:t>
      </w:r>
      <w:r>
        <w:rPr>
          <w:rFonts w:hint="eastAsia"/>
          <w:lang w:eastAsia="zh-CN"/>
        </w:rPr>
        <w:t>个工作日内完成复核，并将复核结果书面通知基金管理人。基金管理人在中期报告完成当日，将有关报告提供给基金托管人复核，基金托管人应在收到后</w:t>
      </w:r>
      <w:r>
        <w:rPr>
          <w:lang w:eastAsia="zh-CN"/>
        </w:rPr>
        <w:t>30</w:t>
      </w:r>
      <w:r>
        <w:rPr>
          <w:rFonts w:hint="eastAsia"/>
          <w:lang w:eastAsia="zh-CN"/>
        </w:rPr>
        <w:t>日内完成复核，并将复核结果书面通知基金管理人。基金管理人在年度报告完成当日，将有关报告提供基金托管人复核，基金托管人应在收到后</w:t>
      </w:r>
      <w:r>
        <w:rPr>
          <w:lang w:eastAsia="zh-CN"/>
        </w:rPr>
        <w:t>45</w:t>
      </w:r>
      <w:r>
        <w:rPr>
          <w:rFonts w:hint="eastAsia"/>
          <w:lang w:eastAsia="zh-CN"/>
        </w:rPr>
        <w:t>日内完成复核，并将复核结果书面通知基金管理人。基金管理人和基金托管人之间的上述文件往来均以传真的方式或双方商定的其他方式进行。</w:t>
      </w:r>
    </w:p>
    <w:p>
      <w:pPr>
        <w:ind w:firstLine="480"/>
        <w:rPr>
          <w:lang w:eastAsia="zh-CN"/>
        </w:rPr>
      </w:pPr>
      <w:r>
        <w:rPr>
          <w:rFonts w:hint="eastAsia"/>
          <w:lang w:eastAsia="zh-CN"/>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业务专用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pPr>
        <w:ind w:firstLine="480"/>
        <w:rPr>
          <w:lang w:eastAsia="zh-CN"/>
        </w:rPr>
      </w:pPr>
      <w:r>
        <w:rPr>
          <w:rFonts w:hint="eastAsia"/>
          <w:lang w:eastAsia="zh-CN"/>
        </w:rPr>
        <w:t>（八）基金管理人应在编制季度报告、中期报告或者年度报告之前向基金托管人提供基金业绩比较基准的基础数据和编制结果。</w:t>
      </w:r>
    </w:p>
    <w:p>
      <w:pPr>
        <w:pStyle w:val="2"/>
        <w:rPr>
          <w:lang w:eastAsia="zh-CN"/>
        </w:rPr>
      </w:pPr>
      <w:bookmarkStart w:id="17" w:name="_Toc296541727"/>
      <w:r>
        <w:rPr>
          <w:rFonts w:hint="eastAsia"/>
          <w:lang w:eastAsia="zh-CN"/>
        </w:rPr>
        <w:t>九、基金收益分配</w:t>
      </w:r>
      <w:bookmarkEnd w:id="17"/>
    </w:p>
    <w:p>
      <w:pPr>
        <w:ind w:firstLine="480"/>
        <w:rPr>
          <w:lang w:eastAsia="zh-CN"/>
        </w:rPr>
      </w:pPr>
      <w:r>
        <w:rPr>
          <w:rFonts w:hint="eastAsia"/>
          <w:lang w:eastAsia="zh-CN"/>
        </w:rPr>
        <w:t>基金收益分配应遵循下列原则：</w:t>
      </w:r>
    </w:p>
    <w:p>
      <w:pPr>
        <w:ind w:firstLine="480"/>
        <w:rPr>
          <w:bCs/>
          <w:lang w:eastAsia="zh-CN"/>
        </w:rPr>
      </w:pPr>
      <w:r>
        <w:rPr>
          <w:bCs/>
          <w:lang w:eastAsia="zh-CN"/>
        </w:rPr>
        <w:t>1</w:t>
      </w:r>
      <w:r>
        <w:rPr>
          <w:rFonts w:hint="eastAsia"/>
          <w:bCs/>
          <w:lang w:eastAsia="zh-CN"/>
        </w:rPr>
        <w:t>．</w:t>
      </w:r>
      <w:r>
        <w:rPr>
          <w:bCs/>
          <w:lang w:eastAsia="zh-CN"/>
        </w:rPr>
        <w:t>在符合有关基金分红条件的前提下，本基金管理人可以根据实际情况进行收益分配，具体分配方案以公告为准，若《基金合同》生效不满3个月可不进行收益分配；</w:t>
      </w:r>
    </w:p>
    <w:p>
      <w:pPr>
        <w:ind w:firstLine="480"/>
        <w:rPr>
          <w:bCs/>
          <w:lang w:eastAsia="zh-CN"/>
        </w:rPr>
      </w:pPr>
      <w:r>
        <w:rPr>
          <w:bCs/>
          <w:lang w:eastAsia="zh-CN"/>
        </w:rPr>
        <w:t>2</w:t>
      </w:r>
      <w:r>
        <w:rPr>
          <w:rFonts w:hint="eastAsia"/>
          <w:bCs/>
          <w:lang w:eastAsia="zh-CN"/>
        </w:rPr>
        <w:t>．</w:t>
      </w:r>
      <w:r>
        <w:rPr>
          <w:bCs/>
          <w:lang w:eastAsia="zh-CN"/>
        </w:rPr>
        <w:t>本基金收益分配方式分两种：现金分红与红利再投资，投资者可选择现金红利或将现金红利自动转为基金份额进行再投资；若投资者不选择，本基金默认的收益分配方式是现金分红；</w:t>
      </w:r>
    </w:p>
    <w:p>
      <w:pPr>
        <w:ind w:firstLine="480"/>
        <w:rPr>
          <w:bCs/>
          <w:lang w:eastAsia="zh-CN"/>
        </w:rPr>
      </w:pPr>
      <w:r>
        <w:rPr>
          <w:bCs/>
          <w:lang w:eastAsia="zh-CN"/>
        </w:rPr>
        <w:t>3</w:t>
      </w:r>
      <w:r>
        <w:rPr>
          <w:rFonts w:hint="eastAsia"/>
          <w:bCs/>
          <w:lang w:eastAsia="zh-CN"/>
        </w:rPr>
        <w:t>．</w:t>
      </w:r>
      <w:r>
        <w:rPr>
          <w:bCs/>
          <w:lang w:eastAsia="zh-CN"/>
        </w:rPr>
        <w:t>基金收益分配后基金份额净值不能低于面值；即基金收益分配基准日的基金份额净值减去每单位基金份额收益分配金额后不能低于面值；</w:t>
      </w:r>
    </w:p>
    <w:p>
      <w:pPr>
        <w:ind w:firstLine="480"/>
        <w:rPr>
          <w:bCs/>
          <w:lang w:eastAsia="zh-CN"/>
        </w:rPr>
      </w:pPr>
      <w:r>
        <w:rPr>
          <w:bCs/>
          <w:lang w:eastAsia="zh-CN"/>
        </w:rPr>
        <w:t>4</w:t>
      </w:r>
      <w:r>
        <w:rPr>
          <w:rFonts w:hint="eastAsia"/>
          <w:bCs/>
          <w:lang w:eastAsia="zh-CN"/>
        </w:rPr>
        <w:t>．</w:t>
      </w:r>
      <w:r>
        <w:rPr>
          <w:bCs/>
          <w:lang w:eastAsia="zh-CN"/>
        </w:rPr>
        <w:t>每一基金份额享有同等分配权；</w:t>
      </w:r>
    </w:p>
    <w:p>
      <w:pPr>
        <w:ind w:firstLine="480"/>
        <w:rPr>
          <w:bCs/>
          <w:lang w:eastAsia="zh-CN"/>
        </w:rPr>
      </w:pPr>
      <w:r>
        <w:rPr>
          <w:bCs/>
          <w:lang w:eastAsia="zh-CN"/>
        </w:rPr>
        <w:t>5</w:t>
      </w:r>
      <w:r>
        <w:rPr>
          <w:rFonts w:hint="eastAsia"/>
          <w:bCs/>
          <w:lang w:eastAsia="zh-CN"/>
        </w:rPr>
        <w:t>．</w:t>
      </w:r>
      <w:r>
        <w:rPr>
          <w:bCs/>
          <w:lang w:eastAsia="zh-CN"/>
        </w:rPr>
        <w:t>法律法规或监管机关另有规定的，从其规定。</w:t>
      </w:r>
    </w:p>
    <w:p>
      <w:pPr>
        <w:ind w:firstLine="480" w:firstLineChars="200"/>
        <w:rPr>
          <w:bCs/>
          <w:lang w:eastAsia="zh-CN"/>
        </w:rPr>
      </w:pPr>
      <w:r>
        <w:rPr>
          <w:rFonts w:hint="eastAsia"/>
          <w:bCs/>
          <w:lang w:eastAsia="zh-CN"/>
        </w:rPr>
        <w:t>在对基金份额持有人利益无实质不利影响的情况下，基金管理人可对基金收益分配原则进行调整。此项调整无需召开基金份额持有人大会，但应于调整实施日前在指定媒介公告。</w:t>
      </w:r>
    </w:p>
    <w:p>
      <w:pPr>
        <w:ind w:firstLine="480"/>
        <w:rPr>
          <w:lang w:eastAsia="zh-CN"/>
        </w:rPr>
      </w:pPr>
    </w:p>
    <w:p>
      <w:pPr>
        <w:ind w:firstLine="480"/>
        <w:rPr>
          <w:lang w:eastAsia="zh-CN"/>
        </w:rPr>
      </w:pPr>
    </w:p>
    <w:p>
      <w:pPr>
        <w:pStyle w:val="2"/>
        <w:rPr>
          <w:lang w:eastAsia="zh-CN"/>
        </w:rPr>
      </w:pPr>
      <w:bookmarkStart w:id="18" w:name="_Toc296541728"/>
      <w:r>
        <w:rPr>
          <w:rFonts w:hint="eastAsia"/>
          <w:lang w:eastAsia="zh-CN"/>
        </w:rPr>
        <w:t>十、基金信息披露</w:t>
      </w:r>
      <w:bookmarkEnd w:id="18"/>
    </w:p>
    <w:p>
      <w:pPr>
        <w:ind w:firstLine="480"/>
        <w:rPr>
          <w:lang w:eastAsia="zh-CN"/>
        </w:rPr>
      </w:pPr>
      <w:r>
        <w:rPr>
          <w:rFonts w:hint="eastAsia"/>
          <w:lang w:eastAsia="zh-CN"/>
        </w:rPr>
        <w:t>（一）保密义务</w:t>
      </w:r>
    </w:p>
    <w:p>
      <w:pPr>
        <w:ind w:firstLine="480"/>
        <w:rPr>
          <w:lang w:eastAsia="zh-CN"/>
        </w:rPr>
      </w:pPr>
      <w:r>
        <w:rPr>
          <w:rFonts w:hint="eastAsia"/>
          <w:lang w:eastAsia="zh-CN"/>
        </w:rPr>
        <w:t>基金托管人和基金管理人应按法律法规、基金合同的有关规定进行信息披露，拟公开披露的信息在公开披露之前应予保密。除按《基金法》、《流动性风险管理规定》、《信息披露办法》、基金合同及其他有关规定进行信息披露外，基金管理人和基金托管人对基金运作中产生的信息以及从对方获得的业务信息应予保密。</w:t>
      </w:r>
    </w:p>
    <w:p>
      <w:pPr>
        <w:ind w:firstLine="480"/>
        <w:rPr>
          <w:lang w:eastAsia="zh-CN"/>
        </w:rPr>
      </w:pPr>
      <w:r>
        <w:rPr>
          <w:rFonts w:hint="eastAsia"/>
          <w:lang w:eastAsia="zh-CN"/>
        </w:rPr>
        <w:t>基金管理人和基金托管人除了为合法履行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pPr>
        <w:ind w:firstLine="480"/>
        <w:rPr>
          <w:lang w:eastAsia="zh-CN"/>
        </w:rPr>
      </w:pPr>
      <w:r>
        <w:rPr>
          <w:lang w:eastAsia="zh-CN"/>
        </w:rPr>
        <w:t>1</w:t>
      </w:r>
      <w:r>
        <w:rPr>
          <w:rFonts w:hint="eastAsia"/>
          <w:lang w:eastAsia="zh-CN"/>
        </w:rPr>
        <w:t>．非因基金管理人和基金托管人的原因导致保密信息被披露、泄露或公开；</w:t>
      </w:r>
    </w:p>
    <w:p>
      <w:pPr>
        <w:ind w:firstLine="480"/>
        <w:rPr>
          <w:lang w:eastAsia="zh-CN"/>
        </w:rPr>
      </w:pPr>
      <w:r>
        <w:rPr>
          <w:lang w:eastAsia="zh-CN"/>
        </w:rPr>
        <w:t>2</w:t>
      </w:r>
      <w:r>
        <w:rPr>
          <w:rFonts w:hint="eastAsia"/>
          <w:lang w:eastAsia="zh-CN"/>
        </w:rPr>
        <w:t>．基金管理人和基金托管人为遵守和服从法院判决或裁定、仲裁裁决或中国证监会等监管机构的命令、决定所做出的信息披露或公开。</w:t>
      </w:r>
    </w:p>
    <w:p>
      <w:pPr>
        <w:ind w:firstLine="480"/>
        <w:rPr>
          <w:lang w:eastAsia="zh-CN"/>
        </w:rPr>
      </w:pPr>
      <w:r>
        <w:rPr>
          <w:rFonts w:hint="eastAsia"/>
          <w:lang w:eastAsia="zh-CN"/>
        </w:rPr>
        <w:t>（二）信息披露的内容</w:t>
      </w:r>
    </w:p>
    <w:p>
      <w:pPr>
        <w:ind w:firstLine="480"/>
        <w:rPr>
          <w:lang w:eastAsia="zh-CN"/>
        </w:rPr>
      </w:pPr>
      <w:r>
        <w:rPr>
          <w:rFonts w:hint="eastAsia"/>
          <w:lang w:eastAsia="zh-CN"/>
        </w:rPr>
        <w:t>基金的信息披露主要包括基金招募说明书、基金合同、托管协议、基金产品</w:t>
      </w:r>
      <w:r>
        <w:rPr>
          <w:lang w:eastAsia="zh-CN"/>
        </w:rPr>
        <w:t>资料概要、</w:t>
      </w:r>
      <w:r>
        <w:rPr>
          <w:rFonts w:hint="eastAsia"/>
          <w:lang w:eastAsia="zh-CN"/>
        </w:rPr>
        <w:t>基金份额发售公告、基金合同生效公告、基金净值信息、基金份额申购、赎回价格、基金定期报告（包括基金年度报告、基金中期报告和基金季度报告（含</w:t>
      </w:r>
      <w:r>
        <w:rPr>
          <w:lang w:eastAsia="zh-CN"/>
        </w:rPr>
        <w:t>资产组合季度报告</w:t>
      </w:r>
      <w:r>
        <w:rPr>
          <w:rFonts w:hint="eastAsia"/>
          <w:lang w:eastAsia="zh-CN"/>
        </w:rPr>
        <w:t>））、临时报告、澄清公告、基金份额持有人大会决议、基金</w:t>
      </w:r>
      <w:r>
        <w:rPr>
          <w:lang w:eastAsia="zh-CN"/>
        </w:rPr>
        <w:t>投资资产支持证券、流通受限证券</w:t>
      </w:r>
      <w:r>
        <w:rPr>
          <w:rFonts w:hint="eastAsia"/>
          <w:lang w:eastAsia="zh-CN"/>
        </w:rPr>
        <w:t>、</w:t>
      </w:r>
      <w:r>
        <w:rPr>
          <w:rFonts w:hint="eastAsia"/>
          <w:bCs/>
          <w:lang w:eastAsia="zh-CN"/>
        </w:rPr>
        <w:t>其他公开募集证券投资基金的</w:t>
      </w:r>
      <w:r>
        <w:rPr>
          <w:bCs/>
          <w:lang w:eastAsia="zh-CN"/>
        </w:rPr>
        <w:t>信息披露、发起</w:t>
      </w:r>
      <w:r>
        <w:rPr>
          <w:rFonts w:hint="eastAsia"/>
          <w:bCs/>
          <w:lang w:eastAsia="zh-CN"/>
        </w:rPr>
        <w:t>资金认购</w:t>
      </w:r>
      <w:r>
        <w:rPr>
          <w:bCs/>
          <w:lang w:eastAsia="zh-CN"/>
        </w:rPr>
        <w:t>份额报告</w:t>
      </w:r>
      <w:r>
        <w:rPr>
          <w:rFonts w:hint="eastAsia"/>
          <w:bCs/>
          <w:lang w:eastAsia="zh-CN"/>
        </w:rPr>
        <w:t>、</w:t>
      </w:r>
      <w:r>
        <w:rPr>
          <w:bCs/>
          <w:lang w:eastAsia="zh-CN"/>
        </w:rPr>
        <w:t>清算报告及</w:t>
      </w:r>
      <w:r>
        <w:rPr>
          <w:rFonts w:hint="eastAsia"/>
          <w:lang w:eastAsia="zh-CN"/>
        </w:rPr>
        <w:t>中国证监会规定的其他信息。基金年度报告中的财务会计报告需经具有证券、期货相关业务资格的会计师事务所审计后，方可披露。</w:t>
      </w:r>
    </w:p>
    <w:p>
      <w:pPr>
        <w:ind w:firstLine="480"/>
        <w:rPr>
          <w:lang w:eastAsia="zh-CN"/>
        </w:rPr>
      </w:pPr>
      <w:r>
        <w:rPr>
          <w:rFonts w:hint="eastAsia"/>
          <w:lang w:eastAsia="zh-CN"/>
        </w:rPr>
        <w:t>基金托管人应当按照相关法律、行政法规、中国证监会的规定和基金合同的约定，对基金管理人编制的基金资产净值、基金份额净值、基金份额申购赎回价格、基金业绩表现数据、基金定期报告、更新的招募说明书、基金产品资料概要、基金清算报告等公开披露的相关基金信息进行复核、审查，并向基金管理人进行书面或电子确认。</w:t>
      </w:r>
    </w:p>
    <w:p>
      <w:pPr>
        <w:ind w:firstLine="480"/>
        <w:rPr>
          <w:lang w:eastAsia="zh-CN"/>
        </w:rPr>
      </w:pPr>
      <w:r>
        <w:rPr>
          <w:rFonts w:hint="eastAsia"/>
          <w:lang w:eastAsia="zh-CN"/>
        </w:rPr>
        <w:t>（三）基金托管人和基金管理人在信息披露中的职责和信息披露程序</w:t>
      </w:r>
    </w:p>
    <w:p>
      <w:pPr>
        <w:ind w:firstLine="480"/>
        <w:rPr>
          <w:lang w:eastAsia="zh-CN"/>
        </w:rPr>
      </w:pPr>
      <w:r>
        <w:rPr>
          <w:lang w:eastAsia="zh-CN"/>
        </w:rPr>
        <w:t>1</w:t>
      </w:r>
      <w:r>
        <w:rPr>
          <w:rFonts w:hint="eastAsia"/>
          <w:lang w:eastAsia="zh-CN"/>
        </w:rPr>
        <w:t>．职责</w:t>
      </w:r>
    </w:p>
    <w:p>
      <w:pPr>
        <w:ind w:firstLine="480"/>
        <w:rPr>
          <w:lang w:eastAsia="zh-CN"/>
        </w:rPr>
      </w:pPr>
      <w:r>
        <w:rPr>
          <w:rFonts w:hint="eastAsia"/>
          <w:lang w:eastAsia="zh-CN"/>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pPr>
        <w:ind w:firstLine="480"/>
        <w:rPr>
          <w:lang w:eastAsia="zh-CN"/>
        </w:rPr>
      </w:pPr>
      <w:r>
        <w:rPr>
          <w:rFonts w:hint="eastAsia"/>
          <w:lang w:eastAsia="zh-CN"/>
        </w:rPr>
        <w:t>基金管理人应当在中国证监会规定的时间内，将应予披露的基金信息通过中国证监会指定媒介披露。根据法律法规应由基金托管人公开披露的信息，基金托管人将通过指定媒介公开披露。</w:t>
      </w:r>
    </w:p>
    <w:p>
      <w:pPr>
        <w:ind w:firstLine="480"/>
        <w:rPr>
          <w:lang w:eastAsia="zh-CN"/>
        </w:rPr>
      </w:pPr>
      <w:r>
        <w:rPr>
          <w:rFonts w:hint="eastAsia"/>
          <w:lang w:eastAsia="zh-CN"/>
        </w:rPr>
        <w:t>基金托管人应按《基金法》和中国证监会的有关规定出具基金托管情况报告。基金托管人报告说明该中期</w:t>
      </w:r>
      <w:r>
        <w:rPr>
          <w:lang w:eastAsia="zh-CN"/>
        </w:rPr>
        <w:t>/</w:t>
      </w:r>
      <w:r>
        <w:rPr>
          <w:rFonts w:hint="eastAsia"/>
          <w:lang w:eastAsia="zh-CN"/>
        </w:rPr>
        <w:t>年度基金托管人和基金管理人履行基金合同的情况，是基金中期报告和年度报告的组成部分。</w:t>
      </w:r>
    </w:p>
    <w:p>
      <w:pPr>
        <w:ind w:firstLine="480"/>
        <w:rPr>
          <w:lang w:eastAsia="zh-CN"/>
        </w:rPr>
      </w:pPr>
      <w:r>
        <w:rPr>
          <w:rFonts w:hint="eastAsia"/>
          <w:lang w:eastAsia="zh-CN"/>
        </w:rPr>
        <w:t>当出现下述情况时，基金管理人和基金托管人可暂停或延迟披露基金信息：</w:t>
      </w:r>
    </w:p>
    <w:p>
      <w:pPr>
        <w:ind w:firstLine="480"/>
        <w:rPr>
          <w:lang w:eastAsia="zh-CN"/>
        </w:rPr>
      </w:pPr>
      <w:r>
        <w:rPr>
          <w:rFonts w:hint="eastAsia"/>
          <w:lang w:eastAsia="zh-CN"/>
        </w:rPr>
        <w:t>（</w:t>
      </w:r>
      <w:r>
        <w:rPr>
          <w:lang w:eastAsia="zh-CN"/>
        </w:rPr>
        <w:t>1</w:t>
      </w:r>
      <w:r>
        <w:rPr>
          <w:rFonts w:hint="eastAsia"/>
          <w:lang w:eastAsia="zh-CN"/>
        </w:rPr>
        <w:t>）不可抗力；</w:t>
      </w:r>
    </w:p>
    <w:p>
      <w:pPr>
        <w:ind w:firstLine="480"/>
        <w:rPr>
          <w:lang w:eastAsia="zh-CN"/>
        </w:rPr>
      </w:pPr>
      <w:r>
        <w:rPr>
          <w:rFonts w:hint="eastAsia"/>
          <w:lang w:eastAsia="zh-CN"/>
        </w:rPr>
        <w:t>（</w:t>
      </w:r>
      <w:r>
        <w:rPr>
          <w:lang w:eastAsia="zh-CN"/>
        </w:rPr>
        <w:t>2</w:t>
      </w:r>
      <w:r>
        <w:rPr>
          <w:rFonts w:hint="eastAsia"/>
          <w:lang w:eastAsia="zh-CN"/>
        </w:rPr>
        <w:t>）基金投资所涉及的证券交易市场遇法定节假日或因其他原因暂停营业时；</w:t>
      </w:r>
    </w:p>
    <w:p>
      <w:pPr>
        <w:ind w:firstLine="480"/>
        <w:rPr>
          <w:lang w:eastAsia="zh-CN"/>
        </w:rPr>
      </w:pPr>
      <w:r>
        <w:rPr>
          <w:rFonts w:hint="eastAsia"/>
          <w:lang w:eastAsia="zh-CN"/>
        </w:rPr>
        <w:t>（</w:t>
      </w:r>
      <w:r>
        <w:rPr>
          <w:lang w:eastAsia="zh-CN"/>
        </w:rPr>
        <w:t>3</w:t>
      </w:r>
      <w:r>
        <w:rPr>
          <w:rFonts w:hint="eastAsia"/>
          <w:lang w:eastAsia="zh-CN"/>
        </w:rPr>
        <w:t>）</w:t>
      </w:r>
      <w:r>
        <w:rPr>
          <w:lang w:eastAsia="zh-CN"/>
        </w:rPr>
        <w:t>出现《基金合同》约定的暂停估值的情形；</w:t>
      </w:r>
    </w:p>
    <w:p>
      <w:pPr>
        <w:ind w:firstLine="480"/>
        <w:rPr>
          <w:lang w:eastAsia="zh-CN"/>
        </w:rPr>
      </w:pPr>
      <w:r>
        <w:rPr>
          <w:rFonts w:hint="eastAsia"/>
          <w:lang w:eastAsia="zh-CN"/>
        </w:rPr>
        <w:t>（</w:t>
      </w:r>
      <w:r>
        <w:rPr>
          <w:lang w:eastAsia="zh-CN"/>
        </w:rPr>
        <w:t>4</w:t>
      </w:r>
      <w:r>
        <w:rPr>
          <w:rFonts w:hint="eastAsia"/>
          <w:lang w:eastAsia="zh-CN"/>
        </w:rPr>
        <w:t>）法律法规规定、基金合同或中国证监会规定的其他</w:t>
      </w:r>
      <w:r>
        <w:rPr>
          <w:lang w:eastAsia="zh-CN"/>
        </w:rPr>
        <w:t>情形</w:t>
      </w:r>
      <w:r>
        <w:rPr>
          <w:rFonts w:hint="eastAsia"/>
          <w:lang w:eastAsia="zh-CN"/>
        </w:rPr>
        <w:t>。</w:t>
      </w:r>
    </w:p>
    <w:p>
      <w:pPr>
        <w:ind w:firstLine="480"/>
        <w:rPr>
          <w:lang w:eastAsia="zh-CN"/>
        </w:rPr>
      </w:pPr>
      <w:r>
        <w:rPr>
          <w:lang w:eastAsia="zh-CN"/>
        </w:rPr>
        <w:t>2</w:t>
      </w:r>
      <w:r>
        <w:rPr>
          <w:rFonts w:hint="eastAsia"/>
          <w:lang w:eastAsia="zh-CN"/>
        </w:rPr>
        <w:t>．程序</w:t>
      </w:r>
    </w:p>
    <w:p>
      <w:pPr>
        <w:ind w:firstLine="480"/>
        <w:rPr>
          <w:lang w:eastAsia="zh-CN"/>
        </w:rPr>
      </w:pPr>
      <w:r>
        <w:rPr>
          <w:rFonts w:hint="eastAsia"/>
          <w:lang w:eastAsia="zh-CN"/>
        </w:rPr>
        <w:t>按有关规定须经基金托管人复核的信息披露文件，由基金管理人起草、并经基金托管人复核后由基金管理人公告。发生基金合同中规定需要披露的事项时，按基金合同规定公布。</w:t>
      </w:r>
    </w:p>
    <w:p>
      <w:pPr>
        <w:ind w:firstLine="480"/>
        <w:rPr>
          <w:lang w:eastAsia="zh-CN"/>
        </w:rPr>
      </w:pPr>
      <w:r>
        <w:rPr>
          <w:lang w:eastAsia="zh-CN"/>
        </w:rPr>
        <w:t>3</w:t>
      </w:r>
      <w:r>
        <w:rPr>
          <w:rFonts w:hint="eastAsia"/>
          <w:lang w:eastAsia="zh-CN"/>
        </w:rPr>
        <w:t>．信息文本的存放</w:t>
      </w:r>
    </w:p>
    <w:p>
      <w:pPr>
        <w:ind w:firstLine="480"/>
        <w:rPr>
          <w:lang w:eastAsia="zh-CN"/>
        </w:rPr>
      </w:pPr>
      <w:r>
        <w:rPr>
          <w:rFonts w:hint="eastAsia"/>
          <w:lang w:eastAsia="zh-CN"/>
        </w:rPr>
        <w:t>依法必须披露的信息发布后，基金管理人、基金托管人应当按照相关法律法规规定将信息置备于公司住所，以供社会公众查阅、复制。</w:t>
      </w:r>
    </w:p>
    <w:p>
      <w:pPr>
        <w:ind w:firstLine="480"/>
        <w:rPr>
          <w:lang w:eastAsia="zh-CN"/>
        </w:rPr>
      </w:pPr>
      <w:r>
        <w:rPr>
          <w:rFonts w:hint="eastAsia"/>
          <w:lang w:eastAsia="zh-CN"/>
        </w:rPr>
        <w:t>投资者可以免费查阅上述文件。在支付工本费后可在合理时间获得上述文件的复制件或复印件。基金管理人和基金托管人应保证文本的内容与所公告的内容完全一致。</w:t>
      </w:r>
    </w:p>
    <w:p>
      <w:pPr>
        <w:ind w:firstLine="480"/>
        <w:rPr>
          <w:lang w:eastAsia="zh-CN"/>
        </w:rPr>
      </w:pPr>
    </w:p>
    <w:p>
      <w:pPr>
        <w:pStyle w:val="2"/>
        <w:rPr>
          <w:lang w:eastAsia="zh-CN"/>
        </w:rPr>
      </w:pPr>
      <w:bookmarkStart w:id="19" w:name="_Toc296541729"/>
      <w:r>
        <w:rPr>
          <w:rFonts w:hint="eastAsia"/>
          <w:lang w:eastAsia="zh-CN"/>
        </w:rPr>
        <w:t>十一、基金费用</w:t>
      </w:r>
      <w:bookmarkEnd w:id="19"/>
    </w:p>
    <w:p>
      <w:pPr>
        <w:ind w:firstLine="480"/>
        <w:rPr>
          <w:lang w:eastAsia="zh-CN"/>
        </w:rPr>
      </w:pPr>
      <w:r>
        <w:rPr>
          <w:rFonts w:hint="eastAsia"/>
          <w:lang w:eastAsia="zh-CN"/>
        </w:rPr>
        <w:t>（一）基金管理费的计提比例和计提方法</w:t>
      </w:r>
    </w:p>
    <w:p>
      <w:pPr>
        <w:ind w:firstLine="480"/>
        <w:rPr>
          <w:lang w:eastAsia="zh-CN"/>
        </w:rPr>
      </w:pPr>
      <w:r>
        <w:rPr>
          <w:rFonts w:hint="eastAsia"/>
          <w:lang w:eastAsia="zh-CN"/>
        </w:rPr>
        <w:t>本基金基金财产中持有的基金管理人自身管理的其他基金部分不收取管理费。</w:t>
      </w:r>
    </w:p>
    <w:p>
      <w:pPr>
        <w:ind w:firstLine="480"/>
        <w:rPr>
          <w:lang w:eastAsia="zh-CN"/>
        </w:rPr>
      </w:pPr>
      <w:r>
        <w:rPr>
          <w:rFonts w:hint="eastAsia"/>
          <w:lang w:eastAsia="zh-CN"/>
        </w:rPr>
        <w:t>本基金的管理费按前一日基金资产净值扣除基金财产中持有的基金管理人自身管理的其他基金部分所对应资产净值后剩余部分的</w:t>
      </w:r>
      <w:r>
        <w:rPr>
          <w:lang w:eastAsia="zh-CN"/>
        </w:rPr>
        <w:t>0.8%</w:t>
      </w:r>
      <w:r>
        <w:rPr>
          <w:rFonts w:hint="eastAsia"/>
          <w:lang w:eastAsia="zh-CN"/>
        </w:rPr>
        <w:t>年费率计提。计算方法如下：</w:t>
      </w:r>
    </w:p>
    <w:p>
      <w:pPr>
        <w:ind w:firstLine="480"/>
        <w:rPr>
          <w:lang w:eastAsia="zh-CN"/>
        </w:rPr>
      </w:pPr>
      <w:r>
        <w:rPr>
          <w:lang w:eastAsia="zh-CN"/>
        </w:rPr>
        <w:t>H</w:t>
      </w:r>
      <w:r>
        <w:rPr>
          <w:rFonts w:hint="eastAsia"/>
          <w:lang w:eastAsia="zh-CN"/>
        </w:rPr>
        <w:t>＝</w:t>
      </w:r>
      <w:r>
        <w:rPr>
          <w:lang w:eastAsia="zh-CN"/>
        </w:rPr>
        <w:t>E</w:t>
      </w:r>
      <w:r>
        <w:rPr>
          <w:rFonts w:hint="eastAsia"/>
          <w:lang w:eastAsia="zh-CN"/>
        </w:rPr>
        <w:t>×</w:t>
      </w:r>
      <w:r>
        <w:rPr>
          <w:lang w:eastAsia="zh-CN"/>
        </w:rPr>
        <w:t>0.8%</w:t>
      </w:r>
      <w:r>
        <w:rPr>
          <w:rFonts w:hint="eastAsia"/>
          <w:lang w:eastAsia="zh-CN"/>
        </w:rPr>
        <w:t>÷当年天数</w:t>
      </w:r>
    </w:p>
    <w:p>
      <w:pPr>
        <w:ind w:firstLine="480"/>
        <w:rPr>
          <w:lang w:eastAsia="zh-CN"/>
        </w:rPr>
      </w:pPr>
      <w:r>
        <w:rPr>
          <w:lang w:eastAsia="zh-CN"/>
        </w:rPr>
        <w:t>H</w:t>
      </w:r>
      <w:r>
        <w:rPr>
          <w:rFonts w:hint="eastAsia"/>
          <w:lang w:eastAsia="zh-CN"/>
        </w:rPr>
        <w:t>为每日应计提的基金管理费</w:t>
      </w:r>
    </w:p>
    <w:p>
      <w:pPr>
        <w:ind w:firstLine="480"/>
        <w:rPr>
          <w:lang w:eastAsia="zh-CN"/>
        </w:rPr>
      </w:pPr>
      <w:r>
        <w:rPr>
          <w:lang w:eastAsia="zh-CN"/>
        </w:rPr>
        <w:t>E</w:t>
      </w:r>
      <w:r>
        <w:rPr>
          <w:rFonts w:hint="eastAsia"/>
          <w:lang w:eastAsia="zh-CN"/>
        </w:rPr>
        <w:t>为前一日的基金资产净值</w:t>
      </w:r>
      <w:r>
        <w:rPr>
          <w:rFonts w:hint="eastAsia"/>
          <w:bCs/>
          <w:lang w:eastAsia="zh-CN"/>
        </w:rPr>
        <w:t>扣除基金财产中持有的基金管理人自身管理的其他基金部分所对应资产净值后剩余部分，若为负数，则E取0。</w:t>
      </w:r>
    </w:p>
    <w:p>
      <w:pPr>
        <w:snapToGrid w:val="0"/>
        <w:ind w:firstLine="480" w:firstLineChars="200"/>
        <w:rPr>
          <w:lang w:eastAsia="zh-CN"/>
        </w:rPr>
      </w:pPr>
      <w:r>
        <w:rPr>
          <w:lang w:eastAsia="zh-CN"/>
        </w:rPr>
        <w:t>基金管理费每日计提，按月支付。由</w:t>
      </w:r>
      <w:r>
        <w:rPr>
          <w:rFonts w:hint="eastAsia"/>
          <w:lang w:eastAsia="zh-CN"/>
        </w:rPr>
        <w:t>基金托管人根据与基金管理人核对一致的财务数据，自动在次月初5个工作日内按照指定的账户路径</w:t>
      </w:r>
      <w:r>
        <w:rPr>
          <w:lang w:eastAsia="zh-CN"/>
        </w:rPr>
        <w:t>进行支付。若遇法定节假日、休息日等，支付日期顺延。</w:t>
      </w:r>
      <w:r>
        <w:rPr>
          <w:rFonts w:hint="eastAsia"/>
          <w:lang w:eastAsia="zh-CN"/>
        </w:rPr>
        <w:t>费用自动扣划后，基金管理人应进行核对，如发现数据不符，应及时联系基金托管人协商解决。</w:t>
      </w:r>
    </w:p>
    <w:p>
      <w:pPr>
        <w:ind w:firstLine="480"/>
        <w:rPr>
          <w:lang w:eastAsia="zh-CN"/>
        </w:rPr>
      </w:pPr>
      <w:r>
        <w:rPr>
          <w:rFonts w:hint="eastAsia"/>
          <w:lang w:eastAsia="zh-CN"/>
        </w:rPr>
        <w:t>（二）基金托管费的计提比例和计提方法</w:t>
      </w:r>
    </w:p>
    <w:p>
      <w:pPr>
        <w:ind w:firstLine="480"/>
        <w:rPr>
          <w:lang w:eastAsia="zh-CN"/>
        </w:rPr>
      </w:pPr>
      <w:r>
        <w:rPr>
          <w:rFonts w:hint="eastAsia"/>
          <w:lang w:eastAsia="zh-CN"/>
        </w:rPr>
        <w:t>本基金基金财产中持有的基金托管人自身托管的其他基金部分不收取托管费。</w:t>
      </w:r>
    </w:p>
    <w:p>
      <w:pPr>
        <w:ind w:firstLine="480"/>
        <w:rPr>
          <w:lang w:eastAsia="zh-CN"/>
        </w:rPr>
      </w:pPr>
      <w:r>
        <w:rPr>
          <w:rFonts w:hint="eastAsia"/>
          <w:lang w:eastAsia="zh-CN"/>
        </w:rPr>
        <w:t>本基金的托管费按前一日基金资产净值扣除基金财产中持有的基金托管人自身托管的其他基金部分所对应资产净值后剩余部分的</w:t>
      </w:r>
      <w:r>
        <w:rPr>
          <w:lang w:eastAsia="zh-CN"/>
        </w:rPr>
        <w:t>0.15%</w:t>
      </w:r>
      <w:r>
        <w:rPr>
          <w:rFonts w:hint="eastAsia"/>
          <w:lang w:eastAsia="zh-CN"/>
        </w:rPr>
        <w:t>年费率计提。计算方法如下：</w:t>
      </w:r>
    </w:p>
    <w:p>
      <w:pPr>
        <w:ind w:firstLine="480"/>
        <w:rPr>
          <w:lang w:eastAsia="zh-CN"/>
        </w:rPr>
      </w:pPr>
      <w:r>
        <w:rPr>
          <w:lang w:eastAsia="zh-CN"/>
        </w:rPr>
        <w:t>H</w:t>
      </w:r>
      <w:r>
        <w:rPr>
          <w:rFonts w:hint="eastAsia"/>
          <w:lang w:eastAsia="zh-CN"/>
        </w:rPr>
        <w:t>＝</w:t>
      </w:r>
      <w:r>
        <w:rPr>
          <w:lang w:eastAsia="zh-CN"/>
        </w:rPr>
        <w:t>E</w:t>
      </w:r>
      <w:r>
        <w:rPr>
          <w:rFonts w:hint="eastAsia"/>
          <w:lang w:eastAsia="zh-CN"/>
        </w:rPr>
        <w:t>×</w:t>
      </w:r>
      <w:r>
        <w:rPr>
          <w:lang w:eastAsia="zh-CN"/>
        </w:rPr>
        <w:t>0.15%</w:t>
      </w:r>
      <w:r>
        <w:rPr>
          <w:rFonts w:hint="eastAsia"/>
          <w:lang w:eastAsia="zh-CN"/>
        </w:rPr>
        <w:t>÷当年天数</w:t>
      </w:r>
    </w:p>
    <w:p>
      <w:pPr>
        <w:ind w:firstLine="480"/>
        <w:rPr>
          <w:lang w:eastAsia="zh-CN"/>
        </w:rPr>
      </w:pPr>
      <w:r>
        <w:rPr>
          <w:lang w:eastAsia="zh-CN"/>
        </w:rPr>
        <w:t>H</w:t>
      </w:r>
      <w:r>
        <w:rPr>
          <w:rFonts w:hint="eastAsia"/>
          <w:lang w:eastAsia="zh-CN"/>
        </w:rPr>
        <w:t>为每日应计提的基金托管费</w:t>
      </w:r>
    </w:p>
    <w:p>
      <w:pPr>
        <w:ind w:firstLine="480"/>
        <w:rPr>
          <w:lang w:eastAsia="zh-CN"/>
        </w:rPr>
      </w:pPr>
      <w:r>
        <w:rPr>
          <w:lang w:eastAsia="zh-CN"/>
        </w:rPr>
        <w:t>E</w:t>
      </w:r>
      <w:r>
        <w:rPr>
          <w:rFonts w:hint="eastAsia"/>
          <w:lang w:eastAsia="zh-CN"/>
        </w:rPr>
        <w:t>为前一日的基金资产净值</w:t>
      </w:r>
      <w:r>
        <w:rPr>
          <w:rFonts w:hint="eastAsia"/>
          <w:bCs/>
          <w:lang w:eastAsia="zh-CN"/>
        </w:rPr>
        <w:t>扣除基金财产中持有的基金托管人自身托管的其他基金部分所对应资产净值后剩余部分，若为负数，则E取0。</w:t>
      </w:r>
    </w:p>
    <w:p>
      <w:pPr>
        <w:snapToGrid w:val="0"/>
        <w:ind w:firstLine="480" w:firstLineChars="200"/>
        <w:rPr>
          <w:lang w:eastAsia="zh-CN"/>
        </w:rPr>
      </w:pPr>
      <w:r>
        <w:rPr>
          <w:rFonts w:hint="eastAsia"/>
          <w:lang w:eastAsia="zh-CN"/>
        </w:rPr>
        <w:t>基金托管费</w:t>
      </w:r>
      <w:r>
        <w:rPr>
          <w:lang w:eastAsia="zh-CN"/>
        </w:rPr>
        <w:t>每日计提，按月支付。由</w:t>
      </w:r>
      <w:r>
        <w:rPr>
          <w:rFonts w:hint="eastAsia"/>
          <w:lang w:eastAsia="zh-CN"/>
        </w:rPr>
        <w:t>基金托管人根据与基金管理人核对一致的财务数据，自动在次月初5个工作日内按照指定的账户路径</w:t>
      </w:r>
      <w:r>
        <w:rPr>
          <w:lang w:eastAsia="zh-CN"/>
        </w:rPr>
        <w:t>进行支付。若遇法定节假日、休息日等，支付日期顺延。</w:t>
      </w:r>
      <w:r>
        <w:rPr>
          <w:rFonts w:hint="eastAsia"/>
          <w:lang w:eastAsia="zh-CN"/>
        </w:rPr>
        <w:t>费用自动扣划后，基金管理人应进行核对，如发现数据不符，应及时联系基金托管人协商解决。</w:t>
      </w:r>
    </w:p>
    <w:p>
      <w:pPr>
        <w:ind w:firstLine="480"/>
        <w:rPr>
          <w:lang w:eastAsia="zh-CN"/>
        </w:rPr>
      </w:pPr>
      <w:r>
        <w:rPr>
          <w:rFonts w:hint="eastAsia"/>
          <w:lang w:eastAsia="zh-CN"/>
        </w:rPr>
        <w:t>（三）在首期支付基金管理费前，基金管理人应向托管人出具正式函件指定基金管理费的收款账户。基金管理人如需要变更此账户，应提前5个工作日向托管人出具书面的收款账户变更通知。</w:t>
      </w:r>
    </w:p>
    <w:p>
      <w:pPr>
        <w:ind w:firstLine="480"/>
        <w:rPr>
          <w:lang w:eastAsia="zh-CN"/>
        </w:rPr>
      </w:pPr>
      <w:r>
        <w:rPr>
          <w:rFonts w:hint="eastAsia"/>
          <w:lang w:eastAsia="zh-CN"/>
        </w:rPr>
        <w:t>（四）基金合同生效以后的与基金相关的信息披露费用（法律法规、中国证监会另有规定除外）、基金份额持有人大会费用、基金合同生效以后的与基金相关的会计师费、律师费、</w:t>
      </w:r>
      <w:r>
        <w:rPr>
          <w:lang w:eastAsia="zh-CN"/>
        </w:rPr>
        <w:t>诉讼费和仲裁费</w:t>
      </w:r>
      <w:r>
        <w:rPr>
          <w:rFonts w:hint="eastAsia"/>
          <w:lang w:eastAsia="zh-CN"/>
        </w:rPr>
        <w:t>、基金银行汇划费用、</w:t>
      </w:r>
      <w:r>
        <w:rPr>
          <w:lang w:eastAsia="zh-CN"/>
        </w:rPr>
        <w:t>基金的证券交易费用或结算而产生的费用、</w:t>
      </w:r>
      <w:r>
        <w:rPr>
          <w:rFonts w:hint="eastAsia"/>
          <w:bCs/>
          <w:lang w:eastAsia="zh-CN"/>
        </w:rPr>
        <w:t>基金、证券账户开户费用和账户维护费用、基金投资其他基金产生的其他基金的销售费用（但法律法规禁止从基金财产中列支的除外）</w:t>
      </w:r>
      <w:r>
        <w:rPr>
          <w:rFonts w:hint="eastAsia"/>
          <w:lang w:eastAsia="zh-CN"/>
        </w:rPr>
        <w:t>以及按照国家有关规定可以列入的其他费用由基金管理人和基金托管人根据有关法规及相应协议的规定，列入或摊入当期基金费用。</w:t>
      </w:r>
    </w:p>
    <w:p>
      <w:pPr>
        <w:ind w:firstLine="480"/>
        <w:rPr>
          <w:lang w:eastAsia="zh-CN"/>
        </w:rPr>
      </w:pPr>
      <w:r>
        <w:rPr>
          <w:rFonts w:hint="eastAsia"/>
          <w:bCs/>
          <w:lang w:eastAsia="zh-CN"/>
        </w:rPr>
        <w:t>（五）基金管理人运用基金财产申购自身管理的基金（</w:t>
      </w:r>
      <w:r>
        <w:rPr>
          <w:bCs/>
          <w:lang w:eastAsia="zh-CN"/>
        </w:rPr>
        <w:t>ETF</w:t>
      </w:r>
      <w:r>
        <w:rPr>
          <w:rFonts w:hint="eastAsia"/>
          <w:bCs/>
          <w:lang w:eastAsia="zh-CN"/>
        </w:rPr>
        <w:t>除外），应当通过直销渠道申购且不得收取申购费、赎回费（按照相关法规、基金招募说明书约定应当收取，并计入基金财产的赎回费用除外）、销售服务费等销售费用。</w:t>
      </w:r>
    </w:p>
    <w:p>
      <w:pPr>
        <w:ind w:firstLine="480"/>
        <w:rPr>
          <w:lang w:eastAsia="zh-CN"/>
        </w:rPr>
      </w:pPr>
      <w:r>
        <w:rPr>
          <w:rFonts w:hint="eastAsia"/>
          <w:lang w:eastAsia="zh-CN"/>
        </w:rPr>
        <w:t>（六）不列入基金费用的项目</w:t>
      </w:r>
    </w:p>
    <w:p>
      <w:pPr>
        <w:ind w:firstLine="480"/>
        <w:rPr>
          <w:lang w:eastAsia="zh-CN"/>
        </w:rPr>
      </w:pPr>
      <w:r>
        <w:rPr>
          <w:rFonts w:hint="eastAsia"/>
          <w:lang w:eastAsia="zh-CN"/>
        </w:rPr>
        <w:t>基金管理人和基金托管人因未履行或未完全履行义务导致的费用支出或基金财产的损失，以及处理与基金运作无关的事项发生的费用等不列入基金费用。基金合同生效之前的律师费、会计师费和信息披露费用等不得从基金财产中列支。</w:t>
      </w:r>
    </w:p>
    <w:p>
      <w:pPr>
        <w:ind w:firstLine="480"/>
        <w:rPr>
          <w:lang w:eastAsia="zh-CN"/>
        </w:rPr>
      </w:pPr>
      <w:r>
        <w:rPr>
          <w:rFonts w:hint="eastAsia"/>
          <w:lang w:eastAsia="zh-CN"/>
        </w:rPr>
        <w:t>（七）违规处理方式</w:t>
      </w:r>
    </w:p>
    <w:p>
      <w:pPr>
        <w:ind w:firstLine="480"/>
        <w:rPr>
          <w:lang w:eastAsia="zh-CN"/>
        </w:rPr>
      </w:pPr>
      <w:r>
        <w:rPr>
          <w:rFonts w:hint="eastAsia"/>
          <w:lang w:eastAsia="zh-CN"/>
        </w:rPr>
        <w:t>基金托管人发现基金管理人违反《基金法》、基金合同、《运作办法》及其他有关规定从基金财产中列支费用时，基金托管人可要求基金管理人予以说明解释，如基金管理人无正当理由，基金托管人可拒绝支付。</w:t>
      </w:r>
    </w:p>
    <w:p>
      <w:pPr>
        <w:ind w:firstLine="480"/>
        <w:rPr>
          <w:lang w:eastAsia="zh-CN"/>
        </w:rPr>
      </w:pPr>
    </w:p>
    <w:p>
      <w:pPr>
        <w:pStyle w:val="2"/>
        <w:rPr>
          <w:lang w:eastAsia="zh-CN"/>
        </w:rPr>
      </w:pPr>
      <w:bookmarkStart w:id="20" w:name="_Toc296541730"/>
      <w:r>
        <w:rPr>
          <w:rFonts w:hint="eastAsia"/>
          <w:lang w:eastAsia="zh-CN"/>
        </w:rPr>
        <w:t>十二、基金份额持有人名册的登记与保管</w:t>
      </w:r>
      <w:bookmarkEnd w:id="20"/>
    </w:p>
    <w:p>
      <w:pPr>
        <w:ind w:firstLine="480"/>
        <w:rPr>
          <w:lang w:eastAsia="zh-CN"/>
        </w:rPr>
      </w:pPr>
      <w:r>
        <w:rPr>
          <w:rFonts w:hint="eastAsia"/>
          <w:lang w:eastAsia="zh-CN"/>
        </w:rPr>
        <w:t>本基金的基金管理人和基金托管人须分别妥善保管的基金份额持有人名册，包括基金合同生效日、基金合同终止日、基金权益登记日、基金份额持有人大会权益登记日、每年</w:t>
      </w:r>
      <w:r>
        <w:rPr>
          <w:lang w:eastAsia="zh-CN"/>
        </w:rPr>
        <w:t>6</w:t>
      </w:r>
      <w:r>
        <w:rPr>
          <w:rFonts w:hint="eastAsia"/>
          <w:lang w:eastAsia="zh-CN"/>
        </w:rPr>
        <w:t>月</w:t>
      </w:r>
      <w:r>
        <w:rPr>
          <w:lang w:eastAsia="zh-CN"/>
        </w:rPr>
        <w:t>30</w:t>
      </w:r>
      <w:r>
        <w:rPr>
          <w:rFonts w:hint="eastAsia"/>
          <w:lang w:eastAsia="zh-CN"/>
        </w:rPr>
        <w:t>日、</w:t>
      </w:r>
      <w:r>
        <w:rPr>
          <w:lang w:eastAsia="zh-CN"/>
        </w:rPr>
        <w:t>12</w:t>
      </w:r>
      <w:r>
        <w:rPr>
          <w:rFonts w:hint="eastAsia"/>
          <w:lang w:eastAsia="zh-CN"/>
        </w:rPr>
        <w:t>月</w:t>
      </w:r>
      <w:r>
        <w:rPr>
          <w:lang w:eastAsia="zh-CN"/>
        </w:rPr>
        <w:t>31</w:t>
      </w:r>
      <w:r>
        <w:rPr>
          <w:rFonts w:hint="eastAsia"/>
          <w:lang w:eastAsia="zh-CN"/>
        </w:rPr>
        <w:t>日的基金份额持有人名册。基金份额持有人名册的内容至少应包括持有人的名称和持有的基金份额。</w:t>
      </w:r>
    </w:p>
    <w:p>
      <w:pPr>
        <w:ind w:firstLine="480"/>
        <w:rPr>
          <w:lang w:eastAsia="zh-CN"/>
        </w:rPr>
      </w:pPr>
      <w:r>
        <w:rPr>
          <w:rFonts w:hint="eastAsia"/>
          <w:lang w:eastAsia="zh-CN"/>
        </w:rPr>
        <w:t>基金份额持有人名册由登记机构编制，由基金管理人审核并提交基金托管人保管。基金托管人有权要求基金管理人提供基金份额持有人名册，基金管理人应及时提供，不得拖延或拒绝提供。</w:t>
      </w:r>
    </w:p>
    <w:p>
      <w:pPr>
        <w:ind w:firstLine="480"/>
        <w:rPr>
          <w:lang w:eastAsia="zh-CN"/>
        </w:rPr>
      </w:pPr>
      <w:r>
        <w:rPr>
          <w:rFonts w:hint="eastAsia"/>
          <w:lang w:eastAsia="zh-CN"/>
        </w:rPr>
        <w:t>基金管理人应及时向基金托管人提交基金份额持有人名册。每年</w:t>
      </w:r>
      <w:r>
        <w:rPr>
          <w:lang w:eastAsia="zh-CN"/>
        </w:rPr>
        <w:t>6</w:t>
      </w:r>
      <w:r>
        <w:rPr>
          <w:rFonts w:hint="eastAsia"/>
          <w:lang w:eastAsia="zh-CN"/>
        </w:rPr>
        <w:t>月</w:t>
      </w:r>
      <w:r>
        <w:rPr>
          <w:lang w:eastAsia="zh-CN"/>
        </w:rPr>
        <w:t>30</w:t>
      </w:r>
      <w:r>
        <w:rPr>
          <w:rFonts w:hint="eastAsia"/>
          <w:lang w:eastAsia="zh-CN"/>
        </w:rPr>
        <w:t>日和</w:t>
      </w:r>
      <w:r>
        <w:rPr>
          <w:lang w:eastAsia="zh-CN"/>
        </w:rPr>
        <w:t>12</w:t>
      </w:r>
      <w:r>
        <w:rPr>
          <w:rFonts w:hint="eastAsia"/>
          <w:lang w:eastAsia="zh-CN"/>
        </w:rPr>
        <w:t>月</w:t>
      </w:r>
      <w:r>
        <w:rPr>
          <w:lang w:eastAsia="zh-CN"/>
        </w:rPr>
        <w:t>31</w:t>
      </w:r>
      <w:r>
        <w:rPr>
          <w:rFonts w:hint="eastAsia"/>
          <w:lang w:eastAsia="zh-CN"/>
        </w:rPr>
        <w:t>日的基金份额持有人名册应于下月前十个工作日内提交；基金合同生效日、基金合同终止日、基金权益登记日、基金份额持有人大会权益登记日等涉及到基金重要事项日期的基金份额持有人名册应于发生日后十个工作日内提交。</w:t>
      </w:r>
    </w:p>
    <w:p>
      <w:pPr>
        <w:ind w:firstLine="480"/>
        <w:rPr>
          <w:lang w:eastAsia="zh-CN"/>
        </w:rPr>
      </w:pPr>
      <w:r>
        <w:rPr>
          <w:rFonts w:hint="eastAsia"/>
          <w:lang w:eastAsia="zh-CN"/>
        </w:rPr>
        <w:t>基金管理人和基金托管人应妥善保管基金份额持有人名册，保存期限为</w:t>
      </w:r>
      <w:r>
        <w:rPr>
          <w:lang w:eastAsia="zh-CN"/>
        </w:rPr>
        <w:t>15</w:t>
      </w:r>
      <w:r>
        <w:rPr>
          <w:rFonts w:hint="eastAsia"/>
          <w:lang w:eastAsia="zh-CN"/>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pPr>
        <w:ind w:firstLine="480"/>
        <w:rPr>
          <w:lang w:eastAsia="zh-CN"/>
        </w:rPr>
      </w:pPr>
    </w:p>
    <w:p>
      <w:pPr>
        <w:pStyle w:val="2"/>
        <w:rPr>
          <w:lang w:eastAsia="zh-CN"/>
        </w:rPr>
      </w:pPr>
      <w:bookmarkStart w:id="21" w:name="_Toc296541731"/>
      <w:r>
        <w:rPr>
          <w:rFonts w:hint="eastAsia"/>
          <w:lang w:eastAsia="zh-CN"/>
        </w:rPr>
        <w:t>十三、基金有关文件档案的保存</w:t>
      </w:r>
      <w:bookmarkEnd w:id="21"/>
    </w:p>
    <w:p>
      <w:pPr>
        <w:ind w:firstLine="480"/>
        <w:rPr>
          <w:lang w:eastAsia="zh-CN"/>
        </w:rPr>
      </w:pPr>
      <w:r>
        <w:rPr>
          <w:rFonts w:hint="eastAsia"/>
          <w:lang w:eastAsia="zh-CN"/>
        </w:rPr>
        <w:t>（一）档案保存</w:t>
      </w:r>
    </w:p>
    <w:p>
      <w:pPr>
        <w:ind w:firstLine="480"/>
        <w:rPr>
          <w:lang w:eastAsia="zh-CN"/>
        </w:rPr>
      </w:pPr>
      <w:r>
        <w:rPr>
          <w:rFonts w:hint="eastAsia"/>
          <w:lang w:eastAsia="zh-CN"/>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lang w:eastAsia="zh-CN"/>
        </w:rPr>
        <w:t xml:space="preserve">15 </w:t>
      </w:r>
      <w:r>
        <w:rPr>
          <w:rFonts w:hint="eastAsia"/>
          <w:lang w:eastAsia="zh-CN"/>
        </w:rPr>
        <w:t>年，法律法规</w:t>
      </w:r>
      <w:r>
        <w:rPr>
          <w:lang w:eastAsia="zh-CN"/>
        </w:rPr>
        <w:t>或监管规则另有规定的，从其规定</w:t>
      </w:r>
      <w:r>
        <w:rPr>
          <w:rFonts w:hint="eastAsia"/>
          <w:lang w:eastAsia="zh-CN"/>
        </w:rPr>
        <w:t>。</w:t>
      </w:r>
    </w:p>
    <w:p>
      <w:pPr>
        <w:ind w:firstLine="480"/>
        <w:rPr>
          <w:lang w:eastAsia="zh-CN"/>
        </w:rPr>
      </w:pPr>
      <w:r>
        <w:rPr>
          <w:rFonts w:hint="eastAsia"/>
          <w:lang w:eastAsia="zh-CN"/>
        </w:rPr>
        <w:t>（二）合同档案的建立</w:t>
      </w:r>
    </w:p>
    <w:p>
      <w:pPr>
        <w:ind w:firstLine="480"/>
        <w:rPr>
          <w:lang w:eastAsia="zh-CN"/>
        </w:rPr>
      </w:pPr>
      <w:r>
        <w:rPr>
          <w:rFonts w:hint="eastAsia"/>
          <w:lang w:eastAsia="zh-CN"/>
        </w:rPr>
        <w:t>基金管理人代表基金签署与基金相关的重大合同文本后，应及时以加密方式将重大合同传真给基金托管人，并在十个工作日内将合同文本正本送达基金托管人处。</w:t>
      </w:r>
    </w:p>
    <w:p>
      <w:pPr>
        <w:ind w:firstLine="480"/>
        <w:rPr>
          <w:lang w:eastAsia="zh-CN"/>
        </w:rPr>
      </w:pPr>
      <w:r>
        <w:rPr>
          <w:rFonts w:hint="eastAsia"/>
          <w:lang w:eastAsia="zh-CN"/>
        </w:rPr>
        <w:t>（三）变更与协助</w:t>
      </w:r>
    </w:p>
    <w:p>
      <w:pPr>
        <w:ind w:firstLine="480"/>
        <w:rPr>
          <w:lang w:eastAsia="zh-CN"/>
        </w:rPr>
      </w:pPr>
      <w:r>
        <w:rPr>
          <w:rFonts w:hint="eastAsia"/>
          <w:lang w:eastAsia="zh-CN"/>
        </w:rPr>
        <w:t>若基金管理人</w:t>
      </w:r>
      <w:r>
        <w:rPr>
          <w:lang w:eastAsia="zh-CN"/>
        </w:rPr>
        <w:t>/</w:t>
      </w:r>
      <w:r>
        <w:rPr>
          <w:rFonts w:hint="eastAsia"/>
          <w:lang w:eastAsia="zh-CN"/>
        </w:rPr>
        <w:t>基金托管人发生变更，未变更的一方有义务协助变更后的接任人接收相应文件。</w:t>
      </w:r>
    </w:p>
    <w:p>
      <w:pPr>
        <w:ind w:firstLine="480"/>
        <w:rPr>
          <w:lang w:eastAsia="zh-CN"/>
        </w:rPr>
      </w:pPr>
      <w:r>
        <w:rPr>
          <w:rFonts w:hint="eastAsia"/>
          <w:lang w:eastAsia="zh-CN"/>
        </w:rPr>
        <w:t>（四）基金管理人和基金托管人应按各自职责完整保存原始凭证、记账凭证、基金账册、交易记录和重要合同等，承担保密义务并保存至少</w:t>
      </w:r>
      <w:r>
        <w:rPr>
          <w:lang w:eastAsia="zh-CN"/>
        </w:rPr>
        <w:t>15</w:t>
      </w:r>
      <w:r>
        <w:rPr>
          <w:rFonts w:hint="eastAsia"/>
          <w:lang w:eastAsia="zh-CN"/>
        </w:rPr>
        <w:t>年以上，法律法规</w:t>
      </w:r>
      <w:r>
        <w:rPr>
          <w:lang w:eastAsia="zh-CN"/>
        </w:rPr>
        <w:t>或监管规则另有规定的，从其规定</w:t>
      </w:r>
      <w:r>
        <w:rPr>
          <w:rFonts w:hint="eastAsia"/>
          <w:lang w:eastAsia="zh-CN"/>
        </w:rPr>
        <w:t>。</w:t>
      </w:r>
    </w:p>
    <w:p>
      <w:pPr>
        <w:ind w:firstLine="480"/>
        <w:rPr>
          <w:lang w:eastAsia="zh-CN"/>
        </w:rPr>
      </w:pPr>
    </w:p>
    <w:p>
      <w:pPr>
        <w:pStyle w:val="2"/>
        <w:rPr>
          <w:lang w:eastAsia="zh-CN"/>
        </w:rPr>
      </w:pPr>
      <w:bookmarkStart w:id="22" w:name="_Toc296541732"/>
      <w:r>
        <w:rPr>
          <w:rFonts w:hint="eastAsia"/>
          <w:lang w:eastAsia="zh-CN"/>
        </w:rPr>
        <w:t>十四、基金管理人和基金托管人的更换</w:t>
      </w:r>
      <w:bookmarkEnd w:id="22"/>
    </w:p>
    <w:p>
      <w:pPr>
        <w:ind w:firstLine="480"/>
        <w:rPr>
          <w:lang w:eastAsia="zh-CN"/>
        </w:rPr>
      </w:pPr>
      <w:r>
        <w:rPr>
          <w:rFonts w:hint="eastAsia"/>
          <w:lang w:eastAsia="zh-CN"/>
        </w:rPr>
        <w:t>（一）基金管理人的更换</w:t>
      </w:r>
    </w:p>
    <w:p>
      <w:pPr>
        <w:ind w:firstLine="480"/>
        <w:rPr>
          <w:lang w:eastAsia="zh-CN"/>
        </w:rPr>
      </w:pPr>
      <w:r>
        <w:rPr>
          <w:lang w:eastAsia="zh-CN"/>
        </w:rPr>
        <w:t>1</w:t>
      </w:r>
      <w:r>
        <w:rPr>
          <w:rFonts w:hint="eastAsia"/>
          <w:lang w:eastAsia="zh-CN"/>
        </w:rPr>
        <w:t>．基金管理人的更换条件</w:t>
      </w:r>
    </w:p>
    <w:p>
      <w:pPr>
        <w:ind w:firstLine="480" w:firstLineChars="200"/>
        <w:rPr>
          <w:bCs/>
          <w:lang w:eastAsia="zh-CN"/>
        </w:rPr>
      </w:pPr>
      <w:r>
        <w:rPr>
          <w:bCs/>
          <w:lang w:eastAsia="zh-CN"/>
        </w:rPr>
        <w:t>有下列情形之一的，基金管理人职责终止：</w:t>
      </w:r>
    </w:p>
    <w:p>
      <w:pPr>
        <w:ind w:firstLine="480" w:firstLineChars="200"/>
        <w:rPr>
          <w:bCs/>
          <w:lang w:eastAsia="zh-CN"/>
        </w:rPr>
      </w:pPr>
      <w:r>
        <w:rPr>
          <w:rFonts w:hint="eastAsia"/>
          <w:bCs/>
          <w:lang w:eastAsia="zh-CN"/>
        </w:rPr>
        <w:t>（</w:t>
      </w:r>
      <w:r>
        <w:rPr>
          <w:bCs/>
          <w:lang w:eastAsia="zh-CN"/>
        </w:rPr>
        <w:t>1</w:t>
      </w:r>
      <w:r>
        <w:rPr>
          <w:rFonts w:hint="eastAsia"/>
          <w:bCs/>
          <w:lang w:eastAsia="zh-CN"/>
        </w:rPr>
        <w:t>）</w:t>
      </w:r>
      <w:r>
        <w:rPr>
          <w:bCs/>
          <w:lang w:eastAsia="zh-CN"/>
        </w:rPr>
        <w:t>被依法取消基金管理资格；</w:t>
      </w:r>
    </w:p>
    <w:p>
      <w:pPr>
        <w:ind w:firstLine="480" w:firstLineChars="200"/>
        <w:rPr>
          <w:bCs/>
          <w:lang w:eastAsia="zh-CN"/>
        </w:rPr>
      </w:pPr>
      <w:r>
        <w:rPr>
          <w:rFonts w:hint="eastAsia"/>
          <w:bCs/>
          <w:lang w:eastAsia="zh-CN"/>
        </w:rPr>
        <w:t>（</w:t>
      </w:r>
      <w:r>
        <w:rPr>
          <w:bCs/>
          <w:lang w:eastAsia="zh-CN"/>
        </w:rPr>
        <w:t>2</w:t>
      </w:r>
      <w:r>
        <w:rPr>
          <w:rFonts w:hint="eastAsia"/>
          <w:bCs/>
          <w:lang w:eastAsia="zh-CN"/>
        </w:rPr>
        <w:t>）</w:t>
      </w:r>
      <w:r>
        <w:rPr>
          <w:bCs/>
          <w:lang w:eastAsia="zh-CN"/>
        </w:rPr>
        <w:t>被基金份额持有人大会解任；</w:t>
      </w:r>
    </w:p>
    <w:p>
      <w:pPr>
        <w:ind w:firstLine="480" w:firstLineChars="200"/>
        <w:rPr>
          <w:bCs/>
          <w:lang w:eastAsia="zh-CN"/>
        </w:rPr>
      </w:pPr>
      <w:r>
        <w:rPr>
          <w:rFonts w:hint="eastAsia"/>
          <w:bCs/>
          <w:lang w:eastAsia="zh-CN"/>
        </w:rPr>
        <w:t>（</w:t>
      </w:r>
      <w:r>
        <w:rPr>
          <w:bCs/>
          <w:lang w:eastAsia="zh-CN"/>
        </w:rPr>
        <w:t>3</w:t>
      </w:r>
      <w:r>
        <w:rPr>
          <w:rFonts w:hint="eastAsia"/>
          <w:bCs/>
          <w:lang w:eastAsia="zh-CN"/>
        </w:rPr>
        <w:t>）</w:t>
      </w:r>
      <w:r>
        <w:rPr>
          <w:bCs/>
          <w:lang w:eastAsia="zh-CN"/>
        </w:rPr>
        <w:t>依法解散、被依法撤销或被依法宣告破产；</w:t>
      </w:r>
    </w:p>
    <w:p>
      <w:pPr>
        <w:ind w:firstLine="480" w:firstLineChars="200"/>
        <w:rPr>
          <w:bCs/>
          <w:lang w:eastAsia="zh-CN"/>
        </w:rPr>
      </w:pPr>
      <w:r>
        <w:rPr>
          <w:rFonts w:hint="eastAsia"/>
          <w:bCs/>
          <w:lang w:eastAsia="zh-CN"/>
        </w:rPr>
        <w:t>（</w:t>
      </w:r>
      <w:r>
        <w:rPr>
          <w:bCs/>
          <w:lang w:eastAsia="zh-CN"/>
        </w:rPr>
        <w:t>4</w:t>
      </w:r>
      <w:r>
        <w:rPr>
          <w:rFonts w:hint="eastAsia"/>
          <w:bCs/>
          <w:lang w:eastAsia="zh-CN"/>
        </w:rPr>
        <w:t>）法律法规及中国证监会规定的和《基金合同》约定的其他</w:t>
      </w:r>
      <w:r>
        <w:rPr>
          <w:bCs/>
          <w:lang w:eastAsia="zh-CN"/>
        </w:rPr>
        <w:t>情形。</w:t>
      </w:r>
    </w:p>
    <w:p>
      <w:pPr>
        <w:ind w:firstLine="480"/>
        <w:rPr>
          <w:lang w:eastAsia="zh-CN"/>
        </w:rPr>
      </w:pPr>
      <w:r>
        <w:rPr>
          <w:lang w:eastAsia="zh-CN"/>
        </w:rPr>
        <w:t>2</w:t>
      </w:r>
      <w:r>
        <w:rPr>
          <w:rFonts w:hint="eastAsia"/>
          <w:lang w:eastAsia="zh-CN"/>
        </w:rPr>
        <w:t>．基金管理人的更换程序</w:t>
      </w:r>
    </w:p>
    <w:p>
      <w:pPr>
        <w:ind w:firstLine="480"/>
        <w:rPr>
          <w:lang w:eastAsia="zh-CN"/>
        </w:rPr>
      </w:pPr>
      <w:r>
        <w:rPr>
          <w:rFonts w:hint="eastAsia"/>
          <w:lang w:eastAsia="zh-CN"/>
        </w:rPr>
        <w:t>更换基金管理人必须依照如下程序进行：</w:t>
      </w:r>
    </w:p>
    <w:p>
      <w:pPr>
        <w:ind w:firstLine="480" w:firstLineChars="200"/>
        <w:rPr>
          <w:bCs/>
          <w:lang w:eastAsia="zh-CN"/>
        </w:rPr>
      </w:pPr>
      <w:r>
        <w:rPr>
          <w:rFonts w:hint="eastAsia"/>
          <w:bCs/>
          <w:lang w:eastAsia="zh-CN"/>
        </w:rPr>
        <w:t>（</w:t>
      </w:r>
      <w:r>
        <w:rPr>
          <w:bCs/>
          <w:lang w:eastAsia="zh-CN"/>
        </w:rPr>
        <w:t>1</w:t>
      </w:r>
      <w:r>
        <w:rPr>
          <w:rFonts w:hint="eastAsia"/>
          <w:bCs/>
          <w:lang w:eastAsia="zh-CN"/>
        </w:rPr>
        <w:t>）</w:t>
      </w:r>
      <w:r>
        <w:rPr>
          <w:bCs/>
          <w:lang w:eastAsia="zh-CN"/>
        </w:rPr>
        <w:t>提名：新任基金管理人由基金托管人或由单独或合计持有10%以上（含10%）基金份额的基金份额持有人提名；</w:t>
      </w:r>
    </w:p>
    <w:p>
      <w:pPr>
        <w:ind w:firstLine="480" w:firstLineChars="200"/>
        <w:rPr>
          <w:bCs/>
          <w:lang w:eastAsia="zh-CN"/>
        </w:rPr>
      </w:pPr>
      <w:r>
        <w:rPr>
          <w:rFonts w:hint="eastAsia"/>
          <w:bCs/>
          <w:lang w:eastAsia="zh-CN"/>
        </w:rPr>
        <w:t>（</w:t>
      </w:r>
      <w:r>
        <w:rPr>
          <w:bCs/>
          <w:lang w:eastAsia="zh-CN"/>
        </w:rPr>
        <w:t>2</w:t>
      </w:r>
      <w:r>
        <w:rPr>
          <w:rFonts w:hint="eastAsia"/>
          <w:bCs/>
          <w:lang w:eastAsia="zh-CN"/>
        </w:rPr>
        <w:t>）</w:t>
      </w:r>
      <w:r>
        <w:rPr>
          <w:bCs/>
          <w:lang w:eastAsia="zh-CN"/>
        </w:rPr>
        <w:t>决议：基金份额持有人大会在基金管理人职责终止后6个月内对被提名的基金管理人形成决议，该决议需经参加大会的基金份额持有人所持表决权的三分之二以上（含三分之二）表决通过</w:t>
      </w:r>
      <w:r>
        <w:rPr>
          <w:rFonts w:hint="eastAsia"/>
          <w:bCs/>
          <w:lang w:eastAsia="zh-CN"/>
        </w:rPr>
        <w:t>，</w:t>
      </w:r>
      <w:r>
        <w:rPr>
          <w:bCs/>
          <w:lang w:eastAsia="zh-CN"/>
        </w:rPr>
        <w:t>决议自表决通过之日起生效；</w:t>
      </w:r>
    </w:p>
    <w:p>
      <w:pPr>
        <w:ind w:firstLine="480" w:firstLineChars="200"/>
        <w:rPr>
          <w:bCs/>
          <w:lang w:eastAsia="zh-CN"/>
        </w:rPr>
      </w:pPr>
      <w:r>
        <w:rPr>
          <w:rFonts w:hint="eastAsia"/>
          <w:bCs/>
          <w:lang w:eastAsia="zh-CN"/>
        </w:rPr>
        <w:t>（</w:t>
      </w:r>
      <w:r>
        <w:rPr>
          <w:bCs/>
          <w:lang w:eastAsia="zh-CN"/>
        </w:rPr>
        <w:t>3</w:t>
      </w:r>
      <w:r>
        <w:rPr>
          <w:rFonts w:hint="eastAsia"/>
          <w:bCs/>
          <w:lang w:eastAsia="zh-CN"/>
        </w:rPr>
        <w:t>）</w:t>
      </w:r>
      <w:r>
        <w:rPr>
          <w:bCs/>
          <w:lang w:eastAsia="zh-CN"/>
        </w:rPr>
        <w:t>临时基金管理人：新任基金管理人产生之前，由中国证监会指定临时基金管理人；</w:t>
      </w:r>
    </w:p>
    <w:p>
      <w:pPr>
        <w:ind w:firstLine="480" w:firstLineChars="200"/>
        <w:rPr>
          <w:bCs/>
          <w:lang w:eastAsia="zh-CN"/>
        </w:rPr>
      </w:pPr>
      <w:r>
        <w:rPr>
          <w:rFonts w:hint="eastAsia"/>
          <w:bCs/>
          <w:lang w:eastAsia="zh-CN"/>
        </w:rPr>
        <w:t>（</w:t>
      </w:r>
      <w:r>
        <w:rPr>
          <w:bCs/>
          <w:lang w:eastAsia="zh-CN"/>
        </w:rPr>
        <w:t>4</w:t>
      </w:r>
      <w:r>
        <w:rPr>
          <w:rFonts w:hint="eastAsia"/>
          <w:bCs/>
          <w:lang w:eastAsia="zh-CN"/>
        </w:rPr>
        <w:t>）</w:t>
      </w:r>
      <w:r>
        <w:rPr>
          <w:bCs/>
          <w:lang w:eastAsia="zh-CN"/>
        </w:rPr>
        <w:t>备案：基金份额持有人大会</w:t>
      </w:r>
      <w:r>
        <w:rPr>
          <w:rFonts w:hint="eastAsia"/>
          <w:bCs/>
          <w:lang w:eastAsia="zh-CN"/>
        </w:rPr>
        <w:t>更换</w:t>
      </w:r>
      <w:r>
        <w:rPr>
          <w:bCs/>
          <w:lang w:eastAsia="zh-CN"/>
        </w:rPr>
        <w:t>基金管理人的决议须</w:t>
      </w:r>
      <w:r>
        <w:rPr>
          <w:rFonts w:hint="eastAsia"/>
          <w:bCs/>
          <w:lang w:eastAsia="zh-CN"/>
        </w:rPr>
        <w:t>报</w:t>
      </w:r>
      <w:r>
        <w:rPr>
          <w:bCs/>
          <w:lang w:eastAsia="zh-CN"/>
        </w:rPr>
        <w:t>中国证监会备案；</w:t>
      </w:r>
    </w:p>
    <w:p>
      <w:pPr>
        <w:ind w:firstLine="480" w:firstLineChars="200"/>
        <w:rPr>
          <w:bCs/>
          <w:lang w:eastAsia="zh-CN"/>
        </w:rPr>
      </w:pPr>
      <w:r>
        <w:rPr>
          <w:rFonts w:hint="eastAsia"/>
          <w:bCs/>
          <w:lang w:eastAsia="zh-CN"/>
        </w:rPr>
        <w:t>（</w:t>
      </w:r>
      <w:r>
        <w:rPr>
          <w:bCs/>
          <w:lang w:eastAsia="zh-CN"/>
        </w:rPr>
        <w:t>5</w:t>
      </w:r>
      <w:r>
        <w:rPr>
          <w:rFonts w:hint="eastAsia"/>
          <w:bCs/>
          <w:lang w:eastAsia="zh-CN"/>
        </w:rPr>
        <w:t>）</w:t>
      </w:r>
      <w:r>
        <w:rPr>
          <w:bCs/>
          <w:lang w:eastAsia="zh-CN"/>
        </w:rPr>
        <w:t>公告：基金管理人更换后，由基金托管人</w:t>
      </w:r>
      <w:r>
        <w:rPr>
          <w:rFonts w:hint="eastAsia"/>
          <w:bCs/>
          <w:lang w:eastAsia="zh-CN"/>
        </w:rPr>
        <w:t>在更换基金管理人的基金份额持有人大会决议生效后依照《信息披露办法》的有关规定在指定媒介公告；</w:t>
      </w:r>
    </w:p>
    <w:p>
      <w:pPr>
        <w:ind w:firstLine="480" w:firstLineChars="200"/>
        <w:rPr>
          <w:bCs/>
          <w:lang w:eastAsia="zh-CN"/>
        </w:rPr>
      </w:pPr>
      <w:r>
        <w:rPr>
          <w:rFonts w:hint="eastAsia"/>
          <w:bCs/>
          <w:lang w:eastAsia="zh-CN"/>
        </w:rPr>
        <w:t>（</w:t>
      </w:r>
      <w:r>
        <w:rPr>
          <w:bCs/>
          <w:lang w:eastAsia="zh-CN"/>
        </w:rPr>
        <w:t>6</w:t>
      </w:r>
      <w:r>
        <w:rPr>
          <w:rFonts w:hint="eastAsia"/>
          <w:bCs/>
          <w:lang w:eastAsia="zh-CN"/>
        </w:rPr>
        <w:t>）</w:t>
      </w:r>
      <w:r>
        <w:rPr>
          <w:bCs/>
          <w:lang w:eastAsia="zh-CN"/>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hint="eastAsia"/>
          <w:bCs/>
          <w:lang w:eastAsia="zh-CN"/>
        </w:rPr>
        <w:t>或临时基金管理人</w:t>
      </w:r>
      <w:r>
        <w:rPr>
          <w:bCs/>
          <w:lang w:eastAsia="zh-CN"/>
        </w:rPr>
        <w:t>应与基金托管人核对基金资产总值</w:t>
      </w:r>
      <w:r>
        <w:rPr>
          <w:rFonts w:hint="eastAsia"/>
          <w:bCs/>
          <w:lang w:eastAsia="zh-CN"/>
        </w:rPr>
        <w:t>和基金资产净值</w:t>
      </w:r>
      <w:r>
        <w:rPr>
          <w:bCs/>
          <w:lang w:eastAsia="zh-CN"/>
        </w:rPr>
        <w:t>；</w:t>
      </w:r>
    </w:p>
    <w:p>
      <w:pPr>
        <w:ind w:firstLine="480" w:firstLineChars="200"/>
        <w:rPr>
          <w:bCs/>
          <w:lang w:eastAsia="zh-CN"/>
        </w:rPr>
      </w:pPr>
      <w:r>
        <w:rPr>
          <w:rFonts w:hint="eastAsia"/>
          <w:bCs/>
          <w:lang w:eastAsia="zh-CN"/>
        </w:rPr>
        <w:t>（</w:t>
      </w:r>
      <w:r>
        <w:rPr>
          <w:bCs/>
          <w:lang w:eastAsia="zh-CN"/>
        </w:rPr>
        <w:t>7</w:t>
      </w:r>
      <w:r>
        <w:rPr>
          <w:rFonts w:hint="eastAsia"/>
          <w:bCs/>
          <w:lang w:eastAsia="zh-CN"/>
        </w:rPr>
        <w:t>）</w:t>
      </w:r>
      <w:r>
        <w:rPr>
          <w:bCs/>
          <w:lang w:eastAsia="zh-CN"/>
        </w:rPr>
        <w:t>审计：基金管理人职责终止的，应当按照法律法规规定聘请会计师事务所对基金财产进行审计，并将审计结果予以公告，同时报中国证监会备案</w:t>
      </w:r>
      <w:r>
        <w:rPr>
          <w:rFonts w:hint="eastAsia"/>
          <w:bCs/>
          <w:lang w:eastAsia="zh-CN"/>
        </w:rPr>
        <w:t>，审计费用在基金财产中列支</w:t>
      </w:r>
      <w:r>
        <w:rPr>
          <w:bCs/>
          <w:lang w:eastAsia="zh-CN"/>
        </w:rPr>
        <w:t>；</w:t>
      </w:r>
    </w:p>
    <w:p>
      <w:pPr>
        <w:ind w:firstLine="480" w:firstLineChars="200"/>
        <w:rPr>
          <w:bCs/>
          <w:lang w:eastAsia="zh-CN"/>
        </w:rPr>
      </w:pPr>
      <w:r>
        <w:rPr>
          <w:rFonts w:hint="eastAsia"/>
          <w:bCs/>
          <w:lang w:eastAsia="zh-CN"/>
        </w:rPr>
        <w:t>（</w:t>
      </w:r>
      <w:r>
        <w:rPr>
          <w:bCs/>
          <w:lang w:eastAsia="zh-CN"/>
        </w:rPr>
        <w:t>8</w:t>
      </w:r>
      <w:r>
        <w:rPr>
          <w:rFonts w:hint="eastAsia"/>
          <w:bCs/>
          <w:lang w:eastAsia="zh-CN"/>
        </w:rPr>
        <w:t>）</w:t>
      </w:r>
      <w:r>
        <w:rPr>
          <w:bCs/>
          <w:lang w:eastAsia="zh-CN"/>
        </w:rPr>
        <w:t>基金名称变更：基金管理人更换后，如果原任或新任基金管理人要求，应按其要求替换或删除基金名称中与原基金管理人有关的名称字样。</w:t>
      </w:r>
    </w:p>
    <w:p>
      <w:pPr>
        <w:ind w:firstLine="480"/>
        <w:rPr>
          <w:lang w:eastAsia="zh-CN"/>
        </w:rPr>
      </w:pPr>
      <w:r>
        <w:rPr>
          <w:rFonts w:hint="eastAsia"/>
          <w:lang w:eastAsia="zh-CN"/>
        </w:rPr>
        <w:t>（二）基金托管人的更换</w:t>
      </w:r>
    </w:p>
    <w:p>
      <w:pPr>
        <w:ind w:firstLine="480"/>
        <w:rPr>
          <w:lang w:eastAsia="zh-CN"/>
        </w:rPr>
      </w:pPr>
      <w:r>
        <w:rPr>
          <w:lang w:eastAsia="zh-CN"/>
        </w:rPr>
        <w:t>1</w:t>
      </w:r>
      <w:r>
        <w:rPr>
          <w:rFonts w:hint="eastAsia"/>
          <w:lang w:eastAsia="zh-CN"/>
        </w:rPr>
        <w:t>．基金托管人的更换条件</w:t>
      </w:r>
    </w:p>
    <w:p>
      <w:pPr>
        <w:ind w:firstLine="480" w:firstLineChars="200"/>
        <w:rPr>
          <w:bCs/>
          <w:lang w:eastAsia="zh-CN"/>
        </w:rPr>
      </w:pPr>
      <w:r>
        <w:rPr>
          <w:bCs/>
          <w:lang w:eastAsia="zh-CN"/>
        </w:rPr>
        <w:t>有下列情形之一的，基金托管人职责终止：</w:t>
      </w:r>
    </w:p>
    <w:p>
      <w:pPr>
        <w:ind w:firstLine="480" w:firstLineChars="200"/>
        <w:rPr>
          <w:bCs/>
          <w:lang w:eastAsia="zh-CN"/>
        </w:rPr>
      </w:pPr>
      <w:r>
        <w:rPr>
          <w:rFonts w:hint="eastAsia"/>
          <w:bCs/>
          <w:lang w:eastAsia="zh-CN"/>
        </w:rPr>
        <w:t>（</w:t>
      </w:r>
      <w:r>
        <w:rPr>
          <w:bCs/>
          <w:lang w:eastAsia="zh-CN"/>
        </w:rPr>
        <w:t>1</w:t>
      </w:r>
      <w:r>
        <w:rPr>
          <w:rFonts w:hint="eastAsia"/>
          <w:bCs/>
          <w:lang w:eastAsia="zh-CN"/>
        </w:rPr>
        <w:t>）</w:t>
      </w:r>
      <w:r>
        <w:rPr>
          <w:bCs/>
          <w:lang w:eastAsia="zh-CN"/>
        </w:rPr>
        <w:t>被依法取消基金托管资格；</w:t>
      </w:r>
    </w:p>
    <w:p>
      <w:pPr>
        <w:ind w:firstLine="480" w:firstLineChars="200"/>
        <w:rPr>
          <w:bCs/>
          <w:lang w:eastAsia="zh-CN"/>
        </w:rPr>
      </w:pPr>
      <w:r>
        <w:rPr>
          <w:rFonts w:hint="eastAsia"/>
          <w:bCs/>
          <w:lang w:eastAsia="zh-CN"/>
        </w:rPr>
        <w:t>（</w:t>
      </w:r>
      <w:r>
        <w:rPr>
          <w:bCs/>
          <w:lang w:eastAsia="zh-CN"/>
        </w:rPr>
        <w:t>2</w:t>
      </w:r>
      <w:r>
        <w:rPr>
          <w:rFonts w:hint="eastAsia"/>
          <w:bCs/>
          <w:lang w:eastAsia="zh-CN"/>
        </w:rPr>
        <w:t>）</w:t>
      </w:r>
      <w:r>
        <w:rPr>
          <w:bCs/>
          <w:lang w:eastAsia="zh-CN"/>
        </w:rPr>
        <w:t>被基金份额持有人大会解任；</w:t>
      </w:r>
    </w:p>
    <w:p>
      <w:pPr>
        <w:ind w:firstLine="480" w:firstLineChars="200"/>
        <w:rPr>
          <w:bCs/>
          <w:lang w:eastAsia="zh-CN"/>
        </w:rPr>
      </w:pPr>
      <w:r>
        <w:rPr>
          <w:rFonts w:hint="eastAsia"/>
          <w:bCs/>
          <w:lang w:eastAsia="zh-CN"/>
        </w:rPr>
        <w:t>（</w:t>
      </w:r>
      <w:r>
        <w:rPr>
          <w:bCs/>
          <w:lang w:eastAsia="zh-CN"/>
        </w:rPr>
        <w:t>3</w:t>
      </w:r>
      <w:r>
        <w:rPr>
          <w:rFonts w:hint="eastAsia"/>
          <w:bCs/>
          <w:lang w:eastAsia="zh-CN"/>
        </w:rPr>
        <w:t>）</w:t>
      </w:r>
      <w:r>
        <w:rPr>
          <w:bCs/>
          <w:lang w:eastAsia="zh-CN"/>
        </w:rPr>
        <w:t>依法解散、被依法撤销或被依法宣告破产；</w:t>
      </w:r>
    </w:p>
    <w:p>
      <w:pPr>
        <w:ind w:firstLine="480" w:firstLineChars="200"/>
        <w:rPr>
          <w:bCs/>
          <w:lang w:eastAsia="zh-CN"/>
        </w:rPr>
      </w:pPr>
      <w:r>
        <w:rPr>
          <w:rFonts w:hint="eastAsia"/>
          <w:bCs/>
          <w:lang w:eastAsia="zh-CN"/>
        </w:rPr>
        <w:t>（</w:t>
      </w:r>
      <w:r>
        <w:rPr>
          <w:bCs/>
          <w:lang w:eastAsia="zh-CN"/>
        </w:rPr>
        <w:t>4</w:t>
      </w:r>
      <w:r>
        <w:rPr>
          <w:rFonts w:hint="eastAsia"/>
          <w:bCs/>
          <w:lang w:eastAsia="zh-CN"/>
        </w:rPr>
        <w:t>）法律法规及中国证监会规定的和《基金合同》约定的其他</w:t>
      </w:r>
      <w:r>
        <w:rPr>
          <w:bCs/>
          <w:lang w:eastAsia="zh-CN"/>
        </w:rPr>
        <w:t>情形。</w:t>
      </w:r>
    </w:p>
    <w:p>
      <w:pPr>
        <w:ind w:firstLine="480"/>
        <w:rPr>
          <w:lang w:eastAsia="zh-CN"/>
        </w:rPr>
      </w:pPr>
      <w:r>
        <w:rPr>
          <w:lang w:eastAsia="zh-CN"/>
        </w:rPr>
        <w:t>2</w:t>
      </w:r>
      <w:r>
        <w:rPr>
          <w:rFonts w:hint="eastAsia"/>
          <w:lang w:eastAsia="zh-CN"/>
        </w:rPr>
        <w:t>．基金托管人的更换程序</w:t>
      </w:r>
    </w:p>
    <w:p>
      <w:pPr>
        <w:ind w:firstLine="480" w:firstLineChars="200"/>
        <w:rPr>
          <w:bCs/>
          <w:lang w:eastAsia="zh-CN"/>
        </w:rPr>
      </w:pPr>
      <w:r>
        <w:rPr>
          <w:rFonts w:hint="eastAsia"/>
          <w:bCs/>
          <w:lang w:eastAsia="zh-CN"/>
        </w:rPr>
        <w:t>（</w:t>
      </w:r>
      <w:r>
        <w:rPr>
          <w:bCs/>
          <w:lang w:eastAsia="zh-CN"/>
        </w:rPr>
        <w:t>1</w:t>
      </w:r>
      <w:r>
        <w:rPr>
          <w:rFonts w:hint="eastAsia"/>
          <w:bCs/>
          <w:lang w:eastAsia="zh-CN"/>
        </w:rPr>
        <w:t>）</w:t>
      </w:r>
      <w:r>
        <w:rPr>
          <w:bCs/>
          <w:lang w:eastAsia="zh-CN"/>
        </w:rPr>
        <w:t>提名：新任基金托管人由基金管理人或由单独或合计</w:t>
      </w:r>
      <w:r>
        <w:rPr>
          <w:rFonts w:hint="eastAsia"/>
          <w:bCs/>
          <w:lang w:eastAsia="zh-CN"/>
        </w:rPr>
        <w:t>持有</w:t>
      </w:r>
      <w:r>
        <w:rPr>
          <w:bCs/>
          <w:lang w:eastAsia="zh-CN"/>
        </w:rPr>
        <w:t>10%以上（含10%）基金份额的基金</w:t>
      </w:r>
      <w:r>
        <w:rPr>
          <w:rFonts w:hint="eastAsia"/>
          <w:bCs/>
          <w:lang w:eastAsia="zh-CN"/>
        </w:rPr>
        <w:t>份额</w:t>
      </w:r>
      <w:r>
        <w:rPr>
          <w:bCs/>
          <w:lang w:eastAsia="zh-CN"/>
        </w:rPr>
        <w:t>持有人提名；</w:t>
      </w:r>
    </w:p>
    <w:p>
      <w:pPr>
        <w:ind w:firstLine="480" w:firstLineChars="200"/>
        <w:rPr>
          <w:bCs/>
          <w:lang w:eastAsia="zh-CN"/>
        </w:rPr>
      </w:pPr>
      <w:r>
        <w:rPr>
          <w:rFonts w:hint="eastAsia"/>
          <w:bCs/>
          <w:lang w:eastAsia="zh-CN"/>
        </w:rPr>
        <w:t>（2）</w:t>
      </w:r>
      <w:r>
        <w:rPr>
          <w:bCs/>
          <w:lang w:eastAsia="zh-CN"/>
        </w:rPr>
        <w:t>决议：基金份额持有人大会在基金托管人职责终止后6个月内对被提名的基金托管人形成决议，该决议需经参加大会的基金份额持有人所持表决权的三分之二以上（含三分之二）表决通过</w:t>
      </w:r>
      <w:r>
        <w:rPr>
          <w:rFonts w:hint="eastAsia"/>
          <w:bCs/>
          <w:lang w:eastAsia="zh-CN"/>
        </w:rPr>
        <w:t>，</w:t>
      </w:r>
      <w:r>
        <w:rPr>
          <w:bCs/>
          <w:lang w:eastAsia="zh-CN"/>
        </w:rPr>
        <w:t>决议自表决通过之日起生效；</w:t>
      </w:r>
    </w:p>
    <w:p>
      <w:pPr>
        <w:ind w:firstLine="480" w:firstLineChars="200"/>
        <w:rPr>
          <w:bCs/>
          <w:lang w:eastAsia="zh-CN"/>
        </w:rPr>
      </w:pPr>
      <w:r>
        <w:rPr>
          <w:rFonts w:hint="eastAsia"/>
          <w:bCs/>
          <w:lang w:eastAsia="zh-CN"/>
        </w:rPr>
        <w:t>（</w:t>
      </w:r>
      <w:r>
        <w:rPr>
          <w:bCs/>
          <w:lang w:eastAsia="zh-CN"/>
        </w:rPr>
        <w:t>3</w:t>
      </w:r>
      <w:r>
        <w:rPr>
          <w:rFonts w:hint="eastAsia"/>
          <w:bCs/>
          <w:lang w:eastAsia="zh-CN"/>
        </w:rPr>
        <w:t>）</w:t>
      </w:r>
      <w:r>
        <w:rPr>
          <w:bCs/>
          <w:lang w:eastAsia="zh-CN"/>
        </w:rPr>
        <w:t>临时基金托管人：新任基金托管人产生之前，由中国证监会指定临时基金托管人；</w:t>
      </w:r>
    </w:p>
    <w:p>
      <w:pPr>
        <w:ind w:firstLine="480" w:firstLineChars="200"/>
        <w:rPr>
          <w:bCs/>
          <w:lang w:eastAsia="zh-CN"/>
        </w:rPr>
      </w:pPr>
      <w:r>
        <w:rPr>
          <w:rFonts w:hint="eastAsia"/>
          <w:bCs/>
          <w:lang w:eastAsia="zh-CN"/>
        </w:rPr>
        <w:t>（</w:t>
      </w:r>
      <w:r>
        <w:rPr>
          <w:bCs/>
          <w:lang w:eastAsia="zh-CN"/>
        </w:rPr>
        <w:t>4</w:t>
      </w:r>
      <w:r>
        <w:rPr>
          <w:rFonts w:hint="eastAsia"/>
          <w:bCs/>
          <w:lang w:eastAsia="zh-CN"/>
        </w:rPr>
        <w:t>）</w:t>
      </w:r>
      <w:r>
        <w:rPr>
          <w:bCs/>
          <w:lang w:eastAsia="zh-CN"/>
        </w:rPr>
        <w:t>备案：基金份额持有人大会更换基金托管人的决议须</w:t>
      </w:r>
      <w:r>
        <w:rPr>
          <w:rFonts w:hint="eastAsia"/>
          <w:bCs/>
          <w:lang w:eastAsia="zh-CN"/>
        </w:rPr>
        <w:t>报</w:t>
      </w:r>
      <w:r>
        <w:rPr>
          <w:bCs/>
          <w:lang w:eastAsia="zh-CN"/>
        </w:rPr>
        <w:t>中国证监会备案；</w:t>
      </w:r>
    </w:p>
    <w:p>
      <w:pPr>
        <w:ind w:firstLine="480" w:firstLineChars="200"/>
        <w:rPr>
          <w:bCs/>
          <w:lang w:eastAsia="zh-CN"/>
        </w:rPr>
      </w:pPr>
      <w:r>
        <w:rPr>
          <w:rFonts w:hint="eastAsia"/>
          <w:bCs/>
          <w:lang w:eastAsia="zh-CN"/>
        </w:rPr>
        <w:t>（</w:t>
      </w:r>
      <w:r>
        <w:rPr>
          <w:bCs/>
          <w:lang w:eastAsia="zh-CN"/>
        </w:rPr>
        <w:t>5</w:t>
      </w:r>
      <w:r>
        <w:rPr>
          <w:rFonts w:hint="eastAsia"/>
          <w:bCs/>
          <w:lang w:eastAsia="zh-CN"/>
        </w:rPr>
        <w:t>）</w:t>
      </w:r>
      <w:r>
        <w:rPr>
          <w:bCs/>
          <w:lang w:eastAsia="zh-CN"/>
        </w:rPr>
        <w:t>公告：基金托管人更换后，由基金管理人</w:t>
      </w:r>
      <w:r>
        <w:rPr>
          <w:rFonts w:hint="eastAsia"/>
          <w:bCs/>
          <w:lang w:eastAsia="zh-CN"/>
        </w:rPr>
        <w:t>在更换基金托管人的基金份额持有人大会决议生效后依照《信息披露办法》的有关规定在指定媒介公告；</w:t>
      </w:r>
    </w:p>
    <w:p>
      <w:pPr>
        <w:ind w:firstLine="480" w:firstLineChars="200"/>
        <w:rPr>
          <w:bCs/>
          <w:lang w:eastAsia="zh-CN"/>
        </w:rPr>
      </w:pPr>
      <w:r>
        <w:rPr>
          <w:rFonts w:hint="eastAsia"/>
          <w:bCs/>
          <w:lang w:eastAsia="zh-CN"/>
        </w:rPr>
        <w:t>（</w:t>
      </w:r>
      <w:r>
        <w:rPr>
          <w:bCs/>
          <w:lang w:eastAsia="zh-CN"/>
        </w:rPr>
        <w:t>6</w:t>
      </w:r>
      <w:r>
        <w:rPr>
          <w:rFonts w:hint="eastAsia"/>
          <w:bCs/>
          <w:lang w:eastAsia="zh-CN"/>
        </w:rPr>
        <w:t>）</w:t>
      </w:r>
      <w:r>
        <w:rPr>
          <w:bCs/>
          <w:lang w:eastAsia="zh-CN"/>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lang w:eastAsia="zh-CN"/>
        </w:rPr>
        <w:t>或临时基金托管人</w:t>
      </w:r>
      <w:r>
        <w:rPr>
          <w:bCs/>
          <w:lang w:eastAsia="zh-CN"/>
        </w:rPr>
        <w:t>与基金管理人核对基金资产总值</w:t>
      </w:r>
      <w:r>
        <w:rPr>
          <w:rFonts w:hint="eastAsia"/>
          <w:bCs/>
          <w:lang w:eastAsia="zh-CN"/>
        </w:rPr>
        <w:t>和基金资产净值</w:t>
      </w:r>
      <w:r>
        <w:rPr>
          <w:bCs/>
          <w:lang w:eastAsia="zh-CN"/>
        </w:rPr>
        <w:t xml:space="preserve">； </w:t>
      </w:r>
    </w:p>
    <w:p>
      <w:pPr>
        <w:ind w:firstLine="480" w:firstLineChars="200"/>
        <w:rPr>
          <w:bCs/>
          <w:lang w:eastAsia="zh-CN"/>
        </w:rPr>
      </w:pPr>
      <w:r>
        <w:rPr>
          <w:rFonts w:hint="eastAsia"/>
          <w:bCs/>
          <w:lang w:eastAsia="zh-CN"/>
        </w:rPr>
        <w:t>（</w:t>
      </w:r>
      <w:r>
        <w:rPr>
          <w:bCs/>
          <w:lang w:eastAsia="zh-CN"/>
        </w:rPr>
        <w:t>7</w:t>
      </w:r>
      <w:r>
        <w:rPr>
          <w:rFonts w:hint="eastAsia"/>
          <w:bCs/>
          <w:lang w:eastAsia="zh-CN"/>
        </w:rPr>
        <w:t>）</w:t>
      </w:r>
      <w:r>
        <w:rPr>
          <w:bCs/>
          <w:lang w:eastAsia="zh-CN"/>
        </w:rPr>
        <w:t>审计：基金托管人职责终止的，应当按照法律法规规定聘请会计师事务所对基金财产进行审计，并将审计结果予以公告，同时报中国证监会备案</w:t>
      </w:r>
      <w:r>
        <w:rPr>
          <w:rFonts w:hint="eastAsia"/>
          <w:bCs/>
          <w:lang w:eastAsia="zh-CN"/>
        </w:rPr>
        <w:t>，审计费用从基金财产中列支</w:t>
      </w:r>
      <w:r>
        <w:rPr>
          <w:bCs/>
          <w:lang w:eastAsia="zh-CN"/>
        </w:rPr>
        <w:t>。</w:t>
      </w:r>
    </w:p>
    <w:p>
      <w:pPr>
        <w:ind w:firstLine="480"/>
        <w:rPr>
          <w:lang w:eastAsia="zh-CN"/>
        </w:rPr>
      </w:pPr>
      <w:r>
        <w:rPr>
          <w:lang w:eastAsia="zh-CN"/>
        </w:rPr>
        <w:t>3</w:t>
      </w:r>
      <w:r>
        <w:rPr>
          <w:rFonts w:hint="eastAsia"/>
          <w:lang w:eastAsia="zh-CN"/>
        </w:rPr>
        <w:t>．基金管理人与基金托管人同时更换</w:t>
      </w:r>
    </w:p>
    <w:p>
      <w:pPr>
        <w:ind w:firstLine="480" w:firstLineChars="200"/>
        <w:rPr>
          <w:bCs/>
          <w:lang w:eastAsia="zh-CN"/>
        </w:rPr>
      </w:pPr>
      <w:r>
        <w:rPr>
          <w:rFonts w:hint="eastAsia"/>
          <w:bCs/>
          <w:lang w:eastAsia="zh-CN"/>
        </w:rPr>
        <w:t>（</w:t>
      </w:r>
      <w:r>
        <w:rPr>
          <w:bCs/>
          <w:lang w:eastAsia="zh-CN"/>
        </w:rPr>
        <w:t>1</w:t>
      </w:r>
      <w:r>
        <w:rPr>
          <w:rFonts w:hint="eastAsia"/>
          <w:bCs/>
          <w:lang w:eastAsia="zh-CN"/>
        </w:rPr>
        <w:t>）</w:t>
      </w:r>
      <w:r>
        <w:rPr>
          <w:bCs/>
          <w:lang w:eastAsia="zh-CN"/>
        </w:rPr>
        <w:t>提名：如果基金管理人和基金托管人同时更换，由单独或合计持有基金总份额10%以上（含10%）的基金份额持有人提名新的基金管理人和基金托管人；</w:t>
      </w:r>
    </w:p>
    <w:p>
      <w:pPr>
        <w:ind w:firstLine="480" w:firstLineChars="200"/>
        <w:rPr>
          <w:bCs/>
          <w:lang w:eastAsia="zh-CN"/>
        </w:rPr>
      </w:pPr>
      <w:r>
        <w:rPr>
          <w:rFonts w:hint="eastAsia"/>
          <w:bCs/>
          <w:lang w:eastAsia="zh-CN"/>
        </w:rPr>
        <w:t>（</w:t>
      </w:r>
      <w:r>
        <w:rPr>
          <w:bCs/>
          <w:lang w:eastAsia="zh-CN"/>
        </w:rPr>
        <w:t>2</w:t>
      </w:r>
      <w:r>
        <w:rPr>
          <w:rFonts w:hint="eastAsia"/>
          <w:bCs/>
          <w:lang w:eastAsia="zh-CN"/>
        </w:rPr>
        <w:t>）</w:t>
      </w:r>
      <w:r>
        <w:rPr>
          <w:bCs/>
          <w:lang w:eastAsia="zh-CN"/>
        </w:rPr>
        <w:t>基金管理人和基金托管人的更换分别按上述程序进行；</w:t>
      </w:r>
    </w:p>
    <w:p>
      <w:pPr>
        <w:ind w:firstLine="480" w:firstLineChars="200"/>
        <w:rPr>
          <w:bCs/>
          <w:lang w:eastAsia="zh-CN"/>
        </w:rPr>
      </w:pPr>
      <w:r>
        <w:rPr>
          <w:rFonts w:hint="eastAsia"/>
          <w:bCs/>
          <w:lang w:eastAsia="zh-CN"/>
        </w:rPr>
        <w:t>（</w:t>
      </w:r>
      <w:r>
        <w:rPr>
          <w:bCs/>
          <w:lang w:eastAsia="zh-CN"/>
        </w:rPr>
        <w:t>3</w:t>
      </w:r>
      <w:r>
        <w:rPr>
          <w:rFonts w:hint="eastAsia"/>
          <w:bCs/>
          <w:lang w:eastAsia="zh-CN"/>
        </w:rPr>
        <w:t>）</w:t>
      </w:r>
      <w:r>
        <w:rPr>
          <w:bCs/>
          <w:lang w:eastAsia="zh-CN"/>
        </w:rPr>
        <w:t>公告：新任基金管理人和新任基金托管人应在更换基金管理人和基金托管人的基金份额持有人大会决议</w:t>
      </w:r>
      <w:r>
        <w:rPr>
          <w:rFonts w:hint="eastAsia"/>
          <w:bCs/>
          <w:lang w:eastAsia="zh-CN"/>
        </w:rPr>
        <w:t>生效</w:t>
      </w:r>
      <w:r>
        <w:rPr>
          <w:bCs/>
          <w:lang w:eastAsia="zh-CN"/>
        </w:rPr>
        <w:t>后</w:t>
      </w:r>
      <w:r>
        <w:rPr>
          <w:rFonts w:hint="eastAsia"/>
          <w:bCs/>
          <w:lang w:eastAsia="zh-CN"/>
        </w:rPr>
        <w:t>依照《信息披露办法》的有关规定</w:t>
      </w:r>
      <w:r>
        <w:rPr>
          <w:bCs/>
          <w:lang w:eastAsia="zh-CN"/>
        </w:rPr>
        <w:t>在指定媒介上联合公告</w:t>
      </w:r>
      <w:r>
        <w:rPr>
          <w:rFonts w:hint="eastAsia"/>
          <w:bCs/>
          <w:lang w:eastAsia="zh-CN"/>
        </w:rPr>
        <w:t>并向中国证监会备案</w:t>
      </w:r>
      <w:r>
        <w:rPr>
          <w:bCs/>
          <w:lang w:eastAsia="zh-CN"/>
        </w:rPr>
        <w:t>。</w:t>
      </w:r>
    </w:p>
    <w:p>
      <w:pPr>
        <w:ind w:firstLine="480"/>
        <w:rPr>
          <w:lang w:eastAsia="zh-CN"/>
        </w:rPr>
      </w:pPr>
      <w:r>
        <w:rPr>
          <w:rFonts w:hint="eastAsia"/>
          <w:lang w:eastAsia="zh-CN"/>
        </w:rPr>
        <w:t>（三）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基金合同》的规定收取基金管理费、基金托管费。</w:t>
      </w:r>
    </w:p>
    <w:p>
      <w:pPr>
        <w:ind w:firstLine="480"/>
        <w:rPr>
          <w:lang w:eastAsia="zh-CN"/>
        </w:rPr>
      </w:pPr>
      <w:r>
        <w:rPr>
          <w:rFonts w:hint="eastAsia"/>
          <w:lang w:eastAsia="zh-CN"/>
        </w:rPr>
        <w:t>（四）本部分关于基金管理人、基金托管人更换条件和程序的约定，凡是直接引用法律法规或监管规则的部分，如法律法规或监管规则修改导致相关内容被取消或变更的，基金管理人与基金托管人协商一致并履行适当的程序后，可直接对相应内容进行修改和调整，无需召开基金份额持有人大会审议。</w:t>
      </w:r>
    </w:p>
    <w:p>
      <w:pPr>
        <w:ind w:firstLine="480"/>
        <w:rPr>
          <w:lang w:eastAsia="zh-CN"/>
        </w:rPr>
      </w:pPr>
    </w:p>
    <w:p>
      <w:pPr>
        <w:pStyle w:val="2"/>
        <w:rPr>
          <w:lang w:eastAsia="zh-CN"/>
        </w:rPr>
      </w:pPr>
      <w:bookmarkStart w:id="23" w:name="_Toc296541733"/>
      <w:r>
        <w:rPr>
          <w:rFonts w:hint="eastAsia"/>
          <w:lang w:eastAsia="zh-CN"/>
        </w:rPr>
        <w:t>十五、禁止行为</w:t>
      </w:r>
      <w:bookmarkEnd w:id="23"/>
    </w:p>
    <w:p>
      <w:pPr>
        <w:ind w:firstLine="480"/>
        <w:rPr>
          <w:lang w:eastAsia="zh-CN"/>
        </w:rPr>
      </w:pPr>
      <w:r>
        <w:rPr>
          <w:rFonts w:hint="eastAsia"/>
          <w:lang w:eastAsia="zh-CN"/>
        </w:rPr>
        <w:t>托管协议当事人禁止从事的行为，包括但不限于：</w:t>
      </w:r>
    </w:p>
    <w:p>
      <w:pPr>
        <w:ind w:firstLine="480"/>
        <w:rPr>
          <w:lang w:eastAsia="zh-CN"/>
        </w:rPr>
      </w:pPr>
      <w:r>
        <w:rPr>
          <w:rFonts w:hint="eastAsia"/>
          <w:lang w:eastAsia="zh-CN"/>
        </w:rPr>
        <w:t>（一）基金管理人、基金托管人将其固有财产或者他人财产混同于基金财产从事证券投资。</w:t>
      </w:r>
    </w:p>
    <w:p>
      <w:pPr>
        <w:ind w:firstLine="480"/>
        <w:rPr>
          <w:lang w:eastAsia="zh-CN"/>
        </w:rPr>
      </w:pPr>
      <w:r>
        <w:rPr>
          <w:rFonts w:hint="eastAsia"/>
          <w:lang w:eastAsia="zh-CN"/>
        </w:rPr>
        <w:t>（二）基金管理人不公平地对待其管理的不同基金财产，基金托管人不公平地对待其托管的不同基金财产。</w:t>
      </w:r>
    </w:p>
    <w:p>
      <w:pPr>
        <w:ind w:firstLine="480"/>
        <w:rPr>
          <w:lang w:eastAsia="zh-CN"/>
        </w:rPr>
      </w:pPr>
      <w:r>
        <w:rPr>
          <w:rFonts w:hint="eastAsia"/>
          <w:lang w:eastAsia="zh-CN"/>
        </w:rPr>
        <w:t>（三）基金管理人、基金托管人利用基金财产为基金份额持有人以外的第三人牟取利益。</w:t>
      </w:r>
    </w:p>
    <w:p>
      <w:pPr>
        <w:ind w:firstLine="480"/>
        <w:rPr>
          <w:lang w:eastAsia="zh-CN"/>
        </w:rPr>
      </w:pPr>
      <w:r>
        <w:rPr>
          <w:rFonts w:hint="eastAsia"/>
          <w:lang w:eastAsia="zh-CN"/>
        </w:rPr>
        <w:t>（四）基金管理人、基金托管人向基金份额持有人违规承诺收益或者承担损失。</w:t>
      </w:r>
    </w:p>
    <w:p>
      <w:pPr>
        <w:ind w:firstLine="480"/>
        <w:rPr>
          <w:lang w:eastAsia="zh-CN"/>
        </w:rPr>
      </w:pPr>
      <w:r>
        <w:rPr>
          <w:rFonts w:hint="eastAsia"/>
          <w:lang w:eastAsia="zh-CN"/>
        </w:rPr>
        <w:t>（五）基金管理人、基金托管人对他人泄漏基金经营过程中任何尚未按法律法规规定的方式公开披露的信息。</w:t>
      </w:r>
    </w:p>
    <w:p>
      <w:pPr>
        <w:ind w:firstLine="480"/>
        <w:rPr>
          <w:lang w:eastAsia="zh-CN"/>
        </w:rPr>
      </w:pPr>
      <w:r>
        <w:rPr>
          <w:rFonts w:hint="eastAsia"/>
          <w:lang w:eastAsia="zh-CN"/>
        </w:rPr>
        <w:t>（六）基金管理人在没有充足资金的情况下向基金托管人发出投资指令和赎回、分红资金的划拨指令，或违规向基金托管人发出指令。</w:t>
      </w:r>
    </w:p>
    <w:p>
      <w:pPr>
        <w:ind w:firstLine="480"/>
        <w:rPr>
          <w:lang w:eastAsia="zh-CN"/>
        </w:rPr>
      </w:pPr>
      <w:r>
        <w:rPr>
          <w:rFonts w:hint="eastAsia"/>
          <w:lang w:eastAsia="zh-CN"/>
        </w:rPr>
        <w:t>（七）基金管理人、基金托管人在行政上、财务上不独立</w:t>
      </w:r>
      <w:r>
        <w:rPr>
          <w:lang w:eastAsia="zh-CN"/>
        </w:rPr>
        <w:t xml:space="preserve">, </w:t>
      </w:r>
      <w:r>
        <w:rPr>
          <w:rFonts w:hint="eastAsia"/>
          <w:lang w:eastAsia="zh-CN"/>
        </w:rPr>
        <w:t>其高级管理人员和其他从业人员相互兼职。</w:t>
      </w:r>
    </w:p>
    <w:p>
      <w:pPr>
        <w:ind w:firstLine="480"/>
        <w:rPr>
          <w:lang w:eastAsia="zh-CN"/>
        </w:rPr>
      </w:pPr>
      <w:r>
        <w:rPr>
          <w:rFonts w:hint="eastAsia"/>
          <w:lang w:eastAsia="zh-CN"/>
        </w:rPr>
        <w:t>（八）基金托管人私自动用或处分基金资产，根据基金管理人的合法指令、基金合同或托管协议的规定进行处分的除外。</w:t>
      </w:r>
    </w:p>
    <w:p>
      <w:pPr>
        <w:ind w:firstLine="480"/>
        <w:rPr>
          <w:lang w:eastAsia="zh-CN"/>
        </w:rPr>
      </w:pPr>
      <w:r>
        <w:rPr>
          <w:rFonts w:hint="eastAsia"/>
          <w:lang w:eastAsia="zh-CN"/>
        </w:rPr>
        <w:t>（九）基金财产用于下列投资或者活动：</w:t>
      </w:r>
    </w:p>
    <w:p>
      <w:pPr>
        <w:ind w:firstLine="480" w:firstLineChars="200"/>
        <w:rPr>
          <w:bCs/>
          <w:lang w:eastAsia="zh-CN"/>
        </w:rPr>
      </w:pPr>
      <w:r>
        <w:rPr>
          <w:bCs/>
          <w:lang w:eastAsia="zh-CN"/>
        </w:rPr>
        <w:t>1</w:t>
      </w:r>
      <w:r>
        <w:rPr>
          <w:rFonts w:hint="eastAsia"/>
          <w:bCs/>
          <w:lang w:eastAsia="zh-CN"/>
        </w:rPr>
        <w:t>．</w:t>
      </w:r>
      <w:r>
        <w:rPr>
          <w:bCs/>
          <w:lang w:eastAsia="zh-CN"/>
        </w:rPr>
        <w:t>承销证券；</w:t>
      </w:r>
    </w:p>
    <w:p>
      <w:pPr>
        <w:ind w:firstLine="480" w:firstLineChars="200"/>
        <w:rPr>
          <w:bCs/>
          <w:lang w:eastAsia="zh-CN"/>
        </w:rPr>
      </w:pPr>
      <w:r>
        <w:rPr>
          <w:rFonts w:hint="eastAsia"/>
          <w:bCs/>
          <w:lang w:eastAsia="zh-CN"/>
        </w:rPr>
        <w:t>2．</w:t>
      </w:r>
      <w:r>
        <w:rPr>
          <w:bCs/>
          <w:lang w:eastAsia="zh-CN"/>
        </w:rPr>
        <w:t>违反规定向他人贷款或者提供担保；</w:t>
      </w:r>
    </w:p>
    <w:p>
      <w:pPr>
        <w:ind w:firstLine="480" w:firstLineChars="200"/>
        <w:rPr>
          <w:bCs/>
          <w:lang w:eastAsia="zh-CN"/>
        </w:rPr>
      </w:pPr>
      <w:r>
        <w:rPr>
          <w:rFonts w:hint="eastAsia"/>
          <w:bCs/>
          <w:lang w:eastAsia="zh-CN"/>
        </w:rPr>
        <w:t>3．</w:t>
      </w:r>
      <w:r>
        <w:rPr>
          <w:bCs/>
          <w:lang w:eastAsia="zh-CN"/>
        </w:rPr>
        <w:t>从事承担无限责任的投资；</w:t>
      </w:r>
    </w:p>
    <w:p>
      <w:pPr>
        <w:ind w:firstLine="480" w:firstLineChars="200"/>
        <w:rPr>
          <w:bCs/>
          <w:lang w:eastAsia="zh-CN"/>
        </w:rPr>
      </w:pPr>
      <w:r>
        <w:rPr>
          <w:bCs/>
          <w:lang w:eastAsia="zh-CN"/>
        </w:rPr>
        <w:t>4</w:t>
      </w:r>
      <w:r>
        <w:rPr>
          <w:rFonts w:hint="eastAsia"/>
          <w:bCs/>
          <w:lang w:eastAsia="zh-CN"/>
        </w:rPr>
        <w:t>．</w:t>
      </w:r>
      <w:r>
        <w:rPr>
          <w:bCs/>
          <w:lang w:eastAsia="zh-CN"/>
        </w:rPr>
        <w:t>向</w:t>
      </w:r>
      <w:r>
        <w:rPr>
          <w:rFonts w:hint="eastAsia"/>
          <w:bCs/>
          <w:lang w:eastAsia="zh-CN"/>
        </w:rPr>
        <w:t>其</w:t>
      </w:r>
      <w:r>
        <w:rPr>
          <w:bCs/>
          <w:lang w:eastAsia="zh-CN"/>
        </w:rPr>
        <w:t>基金管理人、基金托管人出资；</w:t>
      </w:r>
    </w:p>
    <w:p>
      <w:pPr>
        <w:ind w:firstLine="480" w:firstLineChars="200"/>
        <w:rPr>
          <w:bCs/>
          <w:lang w:eastAsia="zh-CN"/>
        </w:rPr>
      </w:pPr>
      <w:r>
        <w:rPr>
          <w:bCs/>
          <w:lang w:eastAsia="zh-CN"/>
        </w:rPr>
        <w:t>5</w:t>
      </w:r>
      <w:r>
        <w:rPr>
          <w:rFonts w:hint="eastAsia"/>
          <w:bCs/>
          <w:lang w:eastAsia="zh-CN"/>
        </w:rPr>
        <w:t>．</w:t>
      </w:r>
      <w:r>
        <w:rPr>
          <w:bCs/>
          <w:lang w:eastAsia="zh-CN"/>
        </w:rPr>
        <w:t>从事内幕交易、操纵证券交易价格及其他不正当的证券交易活动；</w:t>
      </w:r>
    </w:p>
    <w:p>
      <w:pPr>
        <w:ind w:firstLine="480" w:firstLineChars="200"/>
        <w:rPr>
          <w:bCs/>
          <w:lang w:eastAsia="zh-CN"/>
        </w:rPr>
      </w:pPr>
      <w:r>
        <w:rPr>
          <w:bCs/>
          <w:lang w:eastAsia="zh-CN"/>
        </w:rPr>
        <w:t>6</w:t>
      </w:r>
      <w:r>
        <w:rPr>
          <w:rFonts w:hint="eastAsia"/>
          <w:bCs/>
          <w:lang w:eastAsia="zh-CN"/>
        </w:rPr>
        <w:t>．</w:t>
      </w:r>
      <w:r>
        <w:rPr>
          <w:bCs/>
          <w:lang w:eastAsia="zh-CN"/>
        </w:rPr>
        <w:t>法律、行政法规和中国证监会规定禁止的其他活动</w:t>
      </w:r>
      <w:r>
        <w:rPr>
          <w:rFonts w:hint="eastAsia"/>
          <w:bCs/>
          <w:lang w:eastAsia="zh-CN"/>
        </w:rPr>
        <w:t>。</w:t>
      </w:r>
    </w:p>
    <w:p>
      <w:pPr>
        <w:ind w:firstLine="480" w:firstLineChars="200"/>
        <w:rPr>
          <w:bCs/>
          <w:lang w:eastAsia="zh-CN"/>
        </w:rPr>
      </w:pPr>
      <w:r>
        <w:rPr>
          <w:rFonts w:hint="eastAsia"/>
          <w:bCs/>
          <w:lang w:eastAsia="zh-CN"/>
        </w:rPr>
        <w:t>如法律法规或监管部门取消或调整上述禁止性规定，基金管理人在履行法定程序后，则本基金投资不再受相关限制或按调整后的规定执行。</w:t>
      </w:r>
    </w:p>
    <w:p>
      <w:pPr>
        <w:ind w:firstLine="480"/>
        <w:rPr>
          <w:lang w:eastAsia="zh-CN"/>
        </w:rPr>
      </w:pPr>
      <w:r>
        <w:rPr>
          <w:rFonts w:hint="eastAsia"/>
          <w:lang w:eastAsia="zh-CN"/>
        </w:rPr>
        <w:t>（十）法律法规和基金合同禁止的其他行为，以及依照法律、行政法规有关规定，由中国证监会规定禁止基金管理人、基金托管人从事的其他行为。</w:t>
      </w:r>
    </w:p>
    <w:p>
      <w:pPr>
        <w:ind w:firstLine="480"/>
        <w:rPr>
          <w:lang w:eastAsia="zh-CN"/>
        </w:rPr>
      </w:pPr>
    </w:p>
    <w:p>
      <w:pPr>
        <w:pStyle w:val="2"/>
        <w:rPr>
          <w:lang w:eastAsia="zh-CN"/>
        </w:rPr>
      </w:pPr>
      <w:bookmarkStart w:id="24" w:name="_Toc296541734"/>
      <w:r>
        <w:rPr>
          <w:rFonts w:hint="eastAsia"/>
          <w:lang w:eastAsia="zh-CN"/>
        </w:rPr>
        <w:t>十六、托管协议的变更、终止与基金财产的清算</w:t>
      </w:r>
      <w:bookmarkEnd w:id="24"/>
    </w:p>
    <w:p>
      <w:pPr>
        <w:ind w:firstLine="480"/>
        <w:rPr>
          <w:lang w:eastAsia="zh-CN"/>
        </w:rPr>
      </w:pPr>
      <w:r>
        <w:rPr>
          <w:rFonts w:hint="eastAsia"/>
          <w:lang w:eastAsia="zh-CN"/>
        </w:rPr>
        <w:t>（一）托管协议的变更程序</w:t>
      </w:r>
    </w:p>
    <w:p>
      <w:pPr>
        <w:ind w:firstLine="480"/>
        <w:rPr>
          <w:lang w:eastAsia="zh-CN"/>
        </w:rPr>
      </w:pPr>
      <w:r>
        <w:rPr>
          <w:rFonts w:hint="eastAsia"/>
          <w:lang w:eastAsia="zh-CN"/>
        </w:rPr>
        <w:t>本协议双方当事人经协商一致，可以对协议进行修改。修改后的新协议，其内容不得与基金合同的规定有任何冲突。基金托管协议的变更应报中国证监会备案。</w:t>
      </w:r>
    </w:p>
    <w:p>
      <w:pPr>
        <w:ind w:firstLine="480"/>
        <w:rPr>
          <w:lang w:eastAsia="zh-CN"/>
        </w:rPr>
      </w:pPr>
      <w:r>
        <w:rPr>
          <w:rFonts w:hint="eastAsia"/>
          <w:lang w:eastAsia="zh-CN"/>
        </w:rPr>
        <w:t>（二）基金托管协议终止的情形</w:t>
      </w:r>
    </w:p>
    <w:p>
      <w:pPr>
        <w:ind w:firstLine="480"/>
        <w:rPr>
          <w:lang w:eastAsia="zh-CN"/>
        </w:rPr>
      </w:pPr>
      <w:r>
        <w:rPr>
          <w:lang w:eastAsia="zh-CN"/>
        </w:rPr>
        <w:t>1</w:t>
      </w:r>
      <w:r>
        <w:rPr>
          <w:rFonts w:hint="eastAsia"/>
          <w:lang w:eastAsia="zh-CN"/>
        </w:rPr>
        <w:t>．基金合同终止；</w:t>
      </w:r>
    </w:p>
    <w:p>
      <w:pPr>
        <w:ind w:firstLine="480"/>
        <w:rPr>
          <w:lang w:eastAsia="zh-CN"/>
        </w:rPr>
      </w:pPr>
      <w:r>
        <w:rPr>
          <w:lang w:eastAsia="zh-CN"/>
        </w:rPr>
        <w:t>2</w:t>
      </w:r>
      <w:r>
        <w:rPr>
          <w:rFonts w:hint="eastAsia"/>
          <w:lang w:eastAsia="zh-CN"/>
        </w:rPr>
        <w:t>．基金托管人解散、依法被撤销、破产或由其他基金托管人接管基金资产；</w:t>
      </w:r>
    </w:p>
    <w:p>
      <w:pPr>
        <w:ind w:firstLine="480"/>
        <w:rPr>
          <w:lang w:eastAsia="zh-CN"/>
        </w:rPr>
      </w:pPr>
      <w:r>
        <w:rPr>
          <w:lang w:eastAsia="zh-CN"/>
        </w:rPr>
        <w:t>3</w:t>
      </w:r>
      <w:r>
        <w:rPr>
          <w:rFonts w:hint="eastAsia"/>
          <w:lang w:eastAsia="zh-CN"/>
        </w:rPr>
        <w:t>．基金管理人解散、依法被撤销、破产或由其他基金管理人接管基金管理权；</w:t>
      </w:r>
    </w:p>
    <w:p>
      <w:pPr>
        <w:ind w:firstLine="480"/>
        <w:rPr>
          <w:lang w:eastAsia="zh-CN"/>
        </w:rPr>
      </w:pPr>
      <w:r>
        <w:rPr>
          <w:lang w:eastAsia="zh-CN"/>
        </w:rPr>
        <w:t>4</w:t>
      </w:r>
      <w:r>
        <w:rPr>
          <w:rFonts w:hint="eastAsia"/>
          <w:lang w:eastAsia="zh-CN"/>
        </w:rPr>
        <w:t>．发生法律法规或基金合同规定的终止事项。</w:t>
      </w:r>
    </w:p>
    <w:p>
      <w:pPr>
        <w:ind w:firstLine="480" w:firstLineChars="200"/>
        <w:rPr>
          <w:bCs/>
          <w:lang w:eastAsia="zh-CN"/>
        </w:rPr>
      </w:pPr>
      <w:r>
        <w:rPr>
          <w:rFonts w:hint="eastAsia"/>
          <w:bCs/>
          <w:lang w:eastAsia="zh-CN"/>
        </w:rPr>
        <w:t>（</w:t>
      </w:r>
      <w:r>
        <w:rPr>
          <w:bCs/>
          <w:lang w:eastAsia="zh-CN"/>
        </w:rPr>
        <w:t>三</w:t>
      </w:r>
      <w:r>
        <w:rPr>
          <w:rFonts w:hint="eastAsia"/>
          <w:bCs/>
          <w:lang w:eastAsia="zh-CN"/>
        </w:rPr>
        <w:t>）</w:t>
      </w:r>
      <w:r>
        <w:rPr>
          <w:bCs/>
          <w:lang w:eastAsia="zh-CN"/>
        </w:rPr>
        <w:t>基金财产的清算</w:t>
      </w:r>
    </w:p>
    <w:p>
      <w:pPr>
        <w:ind w:firstLine="480" w:firstLineChars="200"/>
        <w:rPr>
          <w:bCs/>
          <w:lang w:eastAsia="zh-CN"/>
        </w:rPr>
      </w:pPr>
      <w:r>
        <w:rPr>
          <w:bCs/>
          <w:lang w:eastAsia="zh-CN"/>
        </w:rPr>
        <w:t>1、基金财产清算小组：自出现《基金合同》终止事由之日起30个工作日内成立清算小组，基金管理人组织基金财产清算小组并在中国证监会的监督下进行基金清算。</w:t>
      </w:r>
    </w:p>
    <w:p>
      <w:pPr>
        <w:ind w:firstLine="480" w:firstLineChars="200"/>
        <w:rPr>
          <w:bCs/>
          <w:lang w:eastAsia="zh-CN"/>
        </w:rPr>
      </w:pPr>
      <w:r>
        <w:rPr>
          <w:bCs/>
          <w:lang w:eastAsia="zh-CN"/>
        </w:rPr>
        <w:t>2、基金财产清算小组组成：基金财产清算小组成员由基金管理人、基金托管人、具有证券</w:t>
      </w:r>
      <w:r>
        <w:rPr>
          <w:rFonts w:hint="eastAsia"/>
          <w:bCs/>
          <w:lang w:eastAsia="zh-CN"/>
        </w:rPr>
        <w:t>、期货</w:t>
      </w:r>
      <w:r>
        <w:rPr>
          <w:bCs/>
          <w:lang w:eastAsia="zh-CN"/>
        </w:rPr>
        <w:t>相关业务资格的注册会计师、律师以及中国证监会指定的人员组成。基金财产清算小组可以聘用必要的工作人员。</w:t>
      </w:r>
    </w:p>
    <w:p>
      <w:pPr>
        <w:ind w:firstLine="480" w:firstLineChars="200"/>
        <w:rPr>
          <w:bCs/>
          <w:lang w:eastAsia="zh-CN"/>
        </w:rPr>
      </w:pPr>
      <w:r>
        <w:rPr>
          <w:bCs/>
          <w:lang w:eastAsia="zh-CN"/>
        </w:rPr>
        <w:t>3、基金财产清算小组职责：基金财产清算小组负责基金财产的保管、清理、估价、变现和分配。基金财产清算小组可以依法进行必要的民事活动。</w:t>
      </w:r>
    </w:p>
    <w:p>
      <w:pPr>
        <w:ind w:firstLine="480" w:firstLineChars="200"/>
        <w:rPr>
          <w:bCs/>
          <w:lang w:eastAsia="zh-CN"/>
        </w:rPr>
      </w:pPr>
      <w:r>
        <w:rPr>
          <w:bCs/>
          <w:lang w:eastAsia="zh-CN"/>
        </w:rPr>
        <w:t>4、基金财产清算程序：</w:t>
      </w:r>
    </w:p>
    <w:p>
      <w:pPr>
        <w:ind w:firstLine="480" w:firstLineChars="200"/>
        <w:rPr>
          <w:bCs/>
          <w:lang w:eastAsia="zh-CN"/>
        </w:rPr>
      </w:pPr>
      <w:r>
        <w:rPr>
          <w:bCs/>
          <w:lang w:eastAsia="zh-CN"/>
        </w:rPr>
        <w:t>（1）《基金合同》终止情形出现时，由基金财产清算小组统一接管基金；</w:t>
      </w:r>
    </w:p>
    <w:p>
      <w:pPr>
        <w:ind w:firstLine="480" w:firstLineChars="200"/>
        <w:rPr>
          <w:bCs/>
          <w:lang w:eastAsia="zh-CN"/>
        </w:rPr>
      </w:pPr>
      <w:r>
        <w:rPr>
          <w:bCs/>
          <w:lang w:eastAsia="zh-CN"/>
        </w:rPr>
        <w:t>（2）对基金财产和债权债务进行清理和确认；</w:t>
      </w:r>
    </w:p>
    <w:p>
      <w:pPr>
        <w:ind w:firstLine="480" w:firstLineChars="200"/>
        <w:rPr>
          <w:bCs/>
          <w:lang w:eastAsia="zh-CN"/>
        </w:rPr>
      </w:pPr>
      <w:r>
        <w:rPr>
          <w:bCs/>
          <w:lang w:eastAsia="zh-CN"/>
        </w:rPr>
        <w:t>（3）对基金财产进行估值和变现；</w:t>
      </w:r>
    </w:p>
    <w:p>
      <w:pPr>
        <w:ind w:firstLine="480" w:firstLineChars="200"/>
        <w:rPr>
          <w:bCs/>
          <w:lang w:eastAsia="zh-CN"/>
        </w:rPr>
      </w:pPr>
      <w:r>
        <w:rPr>
          <w:bCs/>
          <w:lang w:eastAsia="zh-CN"/>
        </w:rPr>
        <w:t>（4）制作清算报告；</w:t>
      </w:r>
    </w:p>
    <w:p>
      <w:pPr>
        <w:ind w:firstLine="480" w:firstLineChars="200"/>
        <w:rPr>
          <w:bCs/>
          <w:lang w:eastAsia="zh-CN"/>
        </w:rPr>
      </w:pPr>
      <w:r>
        <w:rPr>
          <w:bCs/>
          <w:lang w:eastAsia="zh-CN"/>
        </w:rPr>
        <w:t>（5）聘请会计师事务所对清算报告进行外部审计，聘请律师事务所对清算报告出具法律意见书；</w:t>
      </w:r>
    </w:p>
    <w:p>
      <w:pPr>
        <w:ind w:firstLine="480" w:firstLineChars="200"/>
        <w:rPr>
          <w:bCs/>
          <w:lang w:eastAsia="zh-CN"/>
        </w:rPr>
      </w:pPr>
      <w:r>
        <w:rPr>
          <w:bCs/>
          <w:lang w:eastAsia="zh-CN"/>
        </w:rPr>
        <w:t>（6）将清算报告报中国证监会备案并公告</w:t>
      </w:r>
      <w:r>
        <w:rPr>
          <w:rFonts w:hint="eastAsia"/>
          <w:bCs/>
          <w:lang w:eastAsia="zh-CN"/>
        </w:rPr>
        <w:t>；</w:t>
      </w:r>
    </w:p>
    <w:p>
      <w:pPr>
        <w:ind w:firstLine="480" w:firstLineChars="200"/>
        <w:rPr>
          <w:bCs/>
          <w:lang w:eastAsia="zh-CN"/>
        </w:rPr>
      </w:pPr>
      <w:r>
        <w:rPr>
          <w:bCs/>
          <w:lang w:eastAsia="zh-CN"/>
        </w:rPr>
        <w:t>（7）对基金</w:t>
      </w:r>
      <w:r>
        <w:rPr>
          <w:rFonts w:hint="eastAsia"/>
          <w:bCs/>
          <w:lang w:eastAsia="zh-CN"/>
        </w:rPr>
        <w:t>剩余</w:t>
      </w:r>
      <w:r>
        <w:rPr>
          <w:bCs/>
          <w:lang w:eastAsia="zh-CN"/>
        </w:rPr>
        <w:t>财产进行分配</w:t>
      </w:r>
      <w:r>
        <w:rPr>
          <w:rFonts w:hint="eastAsia"/>
          <w:bCs/>
          <w:lang w:eastAsia="zh-CN"/>
        </w:rPr>
        <w:t>。</w:t>
      </w:r>
    </w:p>
    <w:p>
      <w:pPr>
        <w:ind w:firstLine="480" w:firstLineChars="200"/>
        <w:rPr>
          <w:bCs/>
          <w:lang w:eastAsia="zh-CN"/>
        </w:rPr>
      </w:pPr>
      <w:r>
        <w:rPr>
          <w:bCs/>
          <w:lang w:eastAsia="zh-CN"/>
        </w:rPr>
        <w:t>5、基金财产清算的期限为6个月，但因本基金所持证券</w:t>
      </w:r>
      <w:r>
        <w:rPr>
          <w:rFonts w:hint="eastAsia"/>
          <w:bCs/>
          <w:lang w:eastAsia="zh-CN"/>
        </w:rPr>
        <w:t>及</w:t>
      </w:r>
      <w:r>
        <w:rPr>
          <w:bCs/>
          <w:lang w:eastAsia="zh-CN"/>
        </w:rPr>
        <w:t>基金的流动性受到限制而不能及时变现的，清算期限相应顺延。</w:t>
      </w:r>
    </w:p>
    <w:p>
      <w:pPr>
        <w:ind w:firstLine="480" w:firstLineChars="200"/>
        <w:rPr>
          <w:bCs/>
          <w:lang w:eastAsia="zh-CN"/>
        </w:rPr>
      </w:pPr>
      <w:r>
        <w:rPr>
          <w:bCs/>
          <w:lang w:eastAsia="zh-CN"/>
        </w:rPr>
        <w:t>6、基金管理人与基金托管人协商一致或基金资产清算小组认为有对基金份额持有人更为有利的清算方法，在履行适当程序后本基金财产的清算可按该方法进行，不需召开基金份额持有人大会。相关法律法规或监管部门另有规定的，按相关法律法规或监管部门的要求办理。</w:t>
      </w:r>
    </w:p>
    <w:p>
      <w:pPr>
        <w:ind w:firstLine="480" w:firstLineChars="200"/>
        <w:rPr>
          <w:bCs/>
          <w:lang w:eastAsia="zh-CN"/>
        </w:rPr>
      </w:pPr>
      <w:r>
        <w:rPr>
          <w:rFonts w:hint="eastAsia"/>
          <w:bCs/>
          <w:lang w:eastAsia="zh-CN"/>
        </w:rPr>
        <w:t>（</w:t>
      </w:r>
      <w:r>
        <w:rPr>
          <w:bCs/>
          <w:lang w:eastAsia="zh-CN"/>
        </w:rPr>
        <w:t>四</w:t>
      </w:r>
      <w:r>
        <w:rPr>
          <w:rFonts w:hint="eastAsia"/>
          <w:bCs/>
          <w:lang w:eastAsia="zh-CN"/>
        </w:rPr>
        <w:t>）</w:t>
      </w:r>
      <w:r>
        <w:rPr>
          <w:bCs/>
          <w:lang w:eastAsia="zh-CN"/>
        </w:rPr>
        <w:t>清算费用</w:t>
      </w:r>
    </w:p>
    <w:p>
      <w:pPr>
        <w:ind w:firstLine="480" w:firstLineChars="200"/>
        <w:rPr>
          <w:bCs/>
          <w:lang w:eastAsia="zh-CN"/>
        </w:rPr>
      </w:pPr>
      <w:r>
        <w:rPr>
          <w:bCs/>
          <w:lang w:eastAsia="zh-CN"/>
        </w:rPr>
        <w:t>清算费用是指基金财产清算小组在进行基金清算过程中发生的所有合理费用，清算费用由基金财产清算小组优先从基金财产中支付。</w:t>
      </w:r>
    </w:p>
    <w:p>
      <w:pPr>
        <w:ind w:firstLine="480" w:firstLineChars="200"/>
        <w:rPr>
          <w:bCs/>
          <w:lang w:eastAsia="zh-CN"/>
        </w:rPr>
      </w:pPr>
      <w:r>
        <w:rPr>
          <w:rFonts w:hint="eastAsia"/>
          <w:bCs/>
          <w:lang w:eastAsia="zh-CN"/>
        </w:rPr>
        <w:t>（</w:t>
      </w:r>
      <w:r>
        <w:rPr>
          <w:bCs/>
          <w:lang w:eastAsia="zh-CN"/>
        </w:rPr>
        <w:t>五</w:t>
      </w:r>
      <w:r>
        <w:rPr>
          <w:rFonts w:hint="eastAsia"/>
          <w:bCs/>
          <w:lang w:eastAsia="zh-CN"/>
        </w:rPr>
        <w:t>）</w:t>
      </w:r>
      <w:r>
        <w:rPr>
          <w:bCs/>
          <w:lang w:eastAsia="zh-CN"/>
        </w:rPr>
        <w:t>基金财产清算剩余资产的分配</w:t>
      </w:r>
    </w:p>
    <w:p>
      <w:pPr>
        <w:ind w:firstLine="480" w:firstLineChars="200"/>
        <w:rPr>
          <w:bCs/>
          <w:lang w:eastAsia="zh-CN"/>
        </w:rPr>
      </w:pPr>
      <w:r>
        <w:rPr>
          <w:bCs/>
          <w:lang w:eastAsia="zh-CN"/>
        </w:rPr>
        <w:t>依据基金财产清算的分配方案，将基金财产清算后的全部剩余资产扣除基金财产清算费用、交纳所欠税款并清偿基金债务后，</w:t>
      </w:r>
      <w:r>
        <w:rPr>
          <w:rFonts w:hint="eastAsia"/>
          <w:bCs/>
          <w:lang w:eastAsia="zh-CN"/>
        </w:rPr>
        <w:t>按基金份额持有人持有的基金份额比例进行分配。</w:t>
      </w:r>
    </w:p>
    <w:p>
      <w:pPr>
        <w:ind w:firstLine="480" w:firstLineChars="200"/>
        <w:rPr>
          <w:bCs/>
          <w:lang w:eastAsia="zh-CN"/>
        </w:rPr>
      </w:pPr>
      <w:r>
        <w:rPr>
          <w:rFonts w:hint="eastAsia"/>
          <w:bCs/>
          <w:lang w:eastAsia="zh-CN"/>
        </w:rPr>
        <w:t>（</w:t>
      </w:r>
      <w:r>
        <w:rPr>
          <w:bCs/>
          <w:lang w:eastAsia="zh-CN"/>
        </w:rPr>
        <w:t>六</w:t>
      </w:r>
      <w:r>
        <w:rPr>
          <w:rFonts w:hint="eastAsia"/>
          <w:bCs/>
          <w:lang w:eastAsia="zh-CN"/>
        </w:rPr>
        <w:t>）</w:t>
      </w:r>
      <w:r>
        <w:rPr>
          <w:bCs/>
          <w:lang w:eastAsia="zh-CN"/>
        </w:rPr>
        <w:t>基金财产清算的公告</w:t>
      </w:r>
    </w:p>
    <w:p>
      <w:pPr>
        <w:ind w:firstLine="480" w:firstLineChars="200"/>
        <w:rPr>
          <w:bCs/>
          <w:lang w:eastAsia="zh-CN"/>
        </w:rPr>
      </w:pPr>
      <w:r>
        <w:rPr>
          <w:bCs/>
          <w:lang w:eastAsia="zh-CN"/>
        </w:rPr>
        <w:t>清算过程中的有关重大事项须及时公告；基金财产清算报告经</w:t>
      </w:r>
      <w:r>
        <w:rPr>
          <w:rFonts w:hint="eastAsia"/>
          <w:bCs/>
          <w:lang w:eastAsia="zh-CN"/>
        </w:rPr>
        <w:t>具有证券、期货相关业务资格的</w:t>
      </w:r>
      <w:r>
        <w:rPr>
          <w:bCs/>
          <w:lang w:eastAsia="zh-CN"/>
        </w:rPr>
        <w:t>会计师事务所审计并由律师事务所出具法律意见书后报中国证监会备案并公告。基金财产清算公告于基金财产清算报告报中国证监会备案后</w:t>
      </w:r>
      <w:r>
        <w:rPr>
          <w:rFonts w:hint="eastAsia"/>
          <w:bCs/>
          <w:lang w:eastAsia="zh-CN"/>
        </w:rPr>
        <w:t>5</w:t>
      </w:r>
      <w:r>
        <w:rPr>
          <w:bCs/>
          <w:lang w:eastAsia="zh-CN"/>
        </w:rPr>
        <w:t>个工作日内由基金财产清算小组进行公告。</w:t>
      </w:r>
    </w:p>
    <w:p>
      <w:pPr>
        <w:ind w:firstLine="480" w:firstLineChars="200"/>
        <w:rPr>
          <w:bCs/>
          <w:lang w:eastAsia="zh-CN"/>
        </w:rPr>
      </w:pPr>
      <w:r>
        <w:rPr>
          <w:rFonts w:hint="eastAsia"/>
          <w:bCs/>
          <w:lang w:eastAsia="zh-CN"/>
        </w:rPr>
        <w:t>（</w:t>
      </w:r>
      <w:r>
        <w:rPr>
          <w:bCs/>
          <w:lang w:eastAsia="zh-CN"/>
        </w:rPr>
        <w:t>七</w:t>
      </w:r>
      <w:r>
        <w:rPr>
          <w:rFonts w:hint="eastAsia"/>
          <w:bCs/>
          <w:lang w:eastAsia="zh-CN"/>
        </w:rPr>
        <w:t>）</w:t>
      </w:r>
      <w:r>
        <w:rPr>
          <w:bCs/>
          <w:lang w:eastAsia="zh-CN"/>
        </w:rPr>
        <w:t>基金财产清算账册及文件的保存</w:t>
      </w:r>
    </w:p>
    <w:p>
      <w:pPr>
        <w:ind w:firstLine="480" w:firstLineChars="200"/>
        <w:rPr>
          <w:bCs/>
          <w:lang w:eastAsia="zh-CN"/>
        </w:rPr>
      </w:pPr>
      <w:r>
        <w:rPr>
          <w:bCs/>
          <w:lang w:eastAsia="zh-CN"/>
        </w:rPr>
        <w:t>基金财产清算账册及有关文件由基金托管人保存</w:t>
      </w:r>
      <w:r>
        <w:rPr>
          <w:rFonts w:hint="eastAsia"/>
          <w:bCs/>
          <w:lang w:eastAsia="zh-CN"/>
        </w:rPr>
        <w:t>15</w:t>
      </w:r>
      <w:r>
        <w:rPr>
          <w:bCs/>
          <w:lang w:eastAsia="zh-CN"/>
        </w:rPr>
        <w:t>年以上。</w:t>
      </w:r>
    </w:p>
    <w:p>
      <w:pPr>
        <w:ind w:firstLine="480"/>
        <w:rPr>
          <w:lang w:eastAsia="zh-CN"/>
        </w:rPr>
      </w:pPr>
    </w:p>
    <w:p>
      <w:pPr>
        <w:pStyle w:val="2"/>
        <w:rPr>
          <w:lang w:eastAsia="zh-CN"/>
        </w:rPr>
      </w:pPr>
      <w:bookmarkStart w:id="25" w:name="_Toc296541735"/>
      <w:r>
        <w:rPr>
          <w:rFonts w:hint="eastAsia"/>
          <w:lang w:eastAsia="zh-CN"/>
        </w:rPr>
        <w:t>十七、违约责任</w:t>
      </w:r>
      <w:bookmarkEnd w:id="25"/>
    </w:p>
    <w:p>
      <w:pPr>
        <w:ind w:firstLine="480"/>
        <w:rPr>
          <w:lang w:eastAsia="zh-CN"/>
        </w:rPr>
      </w:pPr>
      <w:r>
        <w:rPr>
          <w:rFonts w:hint="eastAsia"/>
          <w:lang w:eastAsia="zh-CN"/>
        </w:rPr>
        <w:t>（一）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lang w:eastAsia="zh-CN"/>
        </w:rPr>
        <w:t>，一方承担连带责任后有权根据另一方过错程度向另一方追偿</w:t>
      </w:r>
      <w:r>
        <w:rPr>
          <w:rFonts w:hint="eastAsia"/>
          <w:lang w:eastAsia="zh-CN"/>
        </w:rPr>
        <w:t>。但是发生下列情况之一的，当事人免责：</w:t>
      </w:r>
    </w:p>
    <w:p>
      <w:pPr>
        <w:ind w:firstLine="480"/>
        <w:rPr>
          <w:lang w:eastAsia="zh-CN"/>
        </w:rPr>
      </w:pPr>
      <w:r>
        <w:rPr>
          <w:lang w:eastAsia="zh-CN"/>
        </w:rPr>
        <w:t>1</w:t>
      </w:r>
      <w:r>
        <w:rPr>
          <w:rFonts w:hint="eastAsia"/>
          <w:lang w:eastAsia="zh-CN"/>
        </w:rPr>
        <w:t>．不可抗力；</w:t>
      </w:r>
    </w:p>
    <w:p>
      <w:pPr>
        <w:ind w:firstLine="480"/>
        <w:rPr>
          <w:lang w:eastAsia="zh-CN"/>
        </w:rPr>
      </w:pPr>
      <w:r>
        <w:rPr>
          <w:lang w:eastAsia="zh-CN"/>
        </w:rPr>
        <w:t>2</w:t>
      </w:r>
      <w:r>
        <w:rPr>
          <w:rFonts w:hint="eastAsia"/>
          <w:lang w:eastAsia="zh-CN"/>
        </w:rPr>
        <w:t>．基金管理人和/或基金托管人按照当时有效的法律法规或规章、市场交易规则或中国证监会的规定作为或不作为而造成的损失等；</w:t>
      </w:r>
    </w:p>
    <w:p>
      <w:pPr>
        <w:ind w:firstLine="480"/>
        <w:rPr>
          <w:lang w:eastAsia="zh-CN"/>
        </w:rPr>
      </w:pPr>
      <w:r>
        <w:rPr>
          <w:lang w:eastAsia="zh-CN"/>
        </w:rPr>
        <w:t>3</w:t>
      </w:r>
      <w:r>
        <w:rPr>
          <w:rFonts w:hint="eastAsia"/>
          <w:lang w:eastAsia="zh-CN"/>
        </w:rPr>
        <w:t>．基金管理人由于按照基金合同规定的投资原则投资或不投资造成的损失等。</w:t>
      </w:r>
    </w:p>
    <w:p>
      <w:pPr>
        <w:ind w:firstLine="480" w:firstLineChars="200"/>
        <w:rPr>
          <w:lang w:eastAsia="zh-CN"/>
        </w:rPr>
      </w:pPr>
      <w:r>
        <w:rPr>
          <w:rFonts w:hint="eastAsia"/>
          <w:lang w:eastAsia="zh-CN"/>
        </w:rPr>
        <w:t>（二）</w:t>
      </w:r>
      <w:r>
        <w:rPr>
          <w:bCs/>
          <w:lang w:eastAsia="zh-CN"/>
        </w:rPr>
        <w:t>在发生一方或多方违约的情况下，在最大限度地保护基金份额持有人利益的前提下，</w:t>
      </w:r>
      <w:r>
        <w:rPr>
          <w:rFonts w:hint="eastAsia"/>
          <w:bCs/>
          <w:lang w:eastAsia="zh-CN"/>
        </w:rPr>
        <w:t>托管协议</w:t>
      </w:r>
      <w:r>
        <w:rPr>
          <w:bCs/>
          <w:lang w:eastAsia="zh-CN"/>
        </w:rPr>
        <w:t xml:space="preserve">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pPr>
        <w:ind w:firstLine="480"/>
        <w:rPr>
          <w:lang w:eastAsia="zh-CN"/>
        </w:rPr>
      </w:pPr>
      <w:r>
        <w:rPr>
          <w:rFonts w:hint="eastAsia"/>
          <w:lang w:eastAsia="zh-CN"/>
        </w:rPr>
        <w:t>（三）由于基金管理人、基金托管人不可控制的因素导致业务出现差错，基金管理人和基金托管人虽然已经采取必要、适当、合理的措施进行检查，但是未能发现错误</w:t>
      </w:r>
      <w:r>
        <w:rPr>
          <w:rFonts w:hint="eastAsia"/>
          <w:bCs/>
          <w:lang w:eastAsia="zh-CN"/>
        </w:rPr>
        <w:t>或因前述原因未能避免或更正错误</w:t>
      </w:r>
      <w:r>
        <w:rPr>
          <w:rFonts w:hint="eastAsia"/>
          <w:lang w:eastAsia="zh-CN"/>
        </w:rPr>
        <w:t>的，由此造成基金财产或投资人损失，基金管理人和基金托管人免除赔偿责任。但是基金管理人和基金托管人应积极采取必要的措施消除</w:t>
      </w:r>
      <w:r>
        <w:rPr>
          <w:rFonts w:hint="eastAsia"/>
          <w:bCs/>
          <w:lang w:eastAsia="zh-CN"/>
        </w:rPr>
        <w:t>或减轻</w:t>
      </w:r>
      <w:r>
        <w:rPr>
          <w:rFonts w:hint="eastAsia"/>
          <w:lang w:eastAsia="zh-CN"/>
        </w:rPr>
        <w:t>由此造成的影响。</w:t>
      </w:r>
    </w:p>
    <w:p>
      <w:pPr>
        <w:ind w:firstLine="480"/>
        <w:rPr>
          <w:lang w:eastAsia="zh-CN"/>
        </w:rPr>
      </w:pPr>
    </w:p>
    <w:p>
      <w:pPr>
        <w:pStyle w:val="2"/>
        <w:rPr>
          <w:lang w:eastAsia="zh-CN"/>
        </w:rPr>
      </w:pPr>
      <w:bookmarkStart w:id="26" w:name="_Toc296541736"/>
      <w:r>
        <w:rPr>
          <w:rFonts w:hint="eastAsia"/>
          <w:lang w:eastAsia="zh-CN"/>
        </w:rPr>
        <w:t>十八、争议解决方式</w:t>
      </w:r>
      <w:bookmarkEnd w:id="26"/>
    </w:p>
    <w:p>
      <w:pPr>
        <w:ind w:firstLine="480"/>
        <w:rPr>
          <w:lang w:eastAsia="zh-CN"/>
        </w:rPr>
      </w:pPr>
      <w:r>
        <w:rPr>
          <w:rFonts w:hint="eastAsia"/>
          <w:lang w:eastAsia="zh-CN"/>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w:t>
      </w:r>
      <w:r>
        <w:rPr>
          <w:lang w:eastAsia="zh-CN"/>
        </w:rPr>
        <w:t>费由败诉方承担。</w:t>
      </w:r>
    </w:p>
    <w:p>
      <w:pPr>
        <w:ind w:firstLine="480"/>
        <w:rPr>
          <w:lang w:eastAsia="zh-CN"/>
        </w:rPr>
      </w:pPr>
      <w:r>
        <w:rPr>
          <w:rFonts w:hint="eastAsia"/>
          <w:lang w:eastAsia="zh-CN"/>
        </w:rPr>
        <w:t>争议处理期间，双方当事人应恪守基金管理人和基金托管人职责，各自继续忠实、勤勉、尽责地履行基金合同和本托管协议规定的义务，维护基金份额持有人的合法权益。</w:t>
      </w:r>
    </w:p>
    <w:p>
      <w:pPr>
        <w:ind w:firstLine="480"/>
        <w:rPr>
          <w:lang w:eastAsia="zh-CN"/>
        </w:rPr>
      </w:pPr>
      <w:r>
        <w:rPr>
          <w:rFonts w:hint="eastAsia"/>
          <w:lang w:eastAsia="zh-CN"/>
        </w:rPr>
        <w:t>本协议适用中华人民共和国法律</w:t>
      </w:r>
      <w:r>
        <w:rPr>
          <w:rFonts w:hint="eastAsia"/>
          <w:bCs/>
          <w:lang w:eastAsia="zh-CN"/>
        </w:rPr>
        <w:t>（为本协议之目的，在此不包括香港、澳门特别行政区和台湾地区法律）</w:t>
      </w:r>
      <w:r>
        <w:rPr>
          <w:rFonts w:hint="eastAsia"/>
          <w:lang w:eastAsia="zh-CN"/>
        </w:rPr>
        <w:t>并从其解释。</w:t>
      </w:r>
    </w:p>
    <w:p>
      <w:pPr>
        <w:ind w:firstLine="480"/>
        <w:rPr>
          <w:lang w:eastAsia="zh-CN"/>
        </w:rPr>
      </w:pPr>
    </w:p>
    <w:p>
      <w:pPr>
        <w:pStyle w:val="2"/>
        <w:rPr>
          <w:lang w:eastAsia="zh-CN"/>
        </w:rPr>
      </w:pPr>
      <w:bookmarkStart w:id="27" w:name="_Toc296541737"/>
      <w:r>
        <w:rPr>
          <w:rFonts w:hint="eastAsia"/>
          <w:lang w:eastAsia="zh-CN"/>
        </w:rPr>
        <w:t>十九、托管协议的效力</w:t>
      </w:r>
      <w:bookmarkEnd w:id="27"/>
    </w:p>
    <w:p>
      <w:pPr>
        <w:ind w:firstLine="480"/>
        <w:rPr>
          <w:lang w:eastAsia="zh-CN"/>
        </w:rPr>
      </w:pPr>
      <w:r>
        <w:rPr>
          <w:rFonts w:hint="eastAsia"/>
          <w:lang w:eastAsia="zh-CN"/>
        </w:rPr>
        <w:t>双方对托管协议的效力约定如下：</w:t>
      </w:r>
    </w:p>
    <w:p>
      <w:pPr>
        <w:ind w:firstLine="480"/>
        <w:rPr>
          <w:lang w:eastAsia="zh-CN"/>
        </w:rPr>
      </w:pPr>
      <w:r>
        <w:rPr>
          <w:rFonts w:hint="eastAsia"/>
          <w:lang w:eastAsia="zh-CN"/>
        </w:rPr>
        <w:t>（一）基金管理人在向中国证监会申请基金募集时提交的托管协议草案，应经托管协议当事人双方盖章以及双方法定代表人或授权代表签字(章)，协议当事人双方根据中国证监会的意见修改托管协议草案。托管协议以中国证监会注册的文本为正式文本。</w:t>
      </w:r>
    </w:p>
    <w:p>
      <w:pPr>
        <w:ind w:firstLine="480"/>
        <w:rPr>
          <w:lang w:eastAsia="zh-CN"/>
        </w:rPr>
      </w:pPr>
      <w:r>
        <w:rPr>
          <w:rFonts w:hint="eastAsia"/>
          <w:lang w:eastAsia="zh-CN"/>
        </w:rPr>
        <w:t>（二）托管协议自基金合同生效之日起生效。托管协议的有效期自其生效之日起至该基金财产清算结果报中国证监会备案并公告之日止。</w:t>
      </w:r>
    </w:p>
    <w:p>
      <w:pPr>
        <w:ind w:firstLine="480"/>
        <w:rPr>
          <w:lang w:eastAsia="zh-CN"/>
        </w:rPr>
      </w:pPr>
      <w:r>
        <w:rPr>
          <w:rFonts w:hint="eastAsia"/>
          <w:lang w:eastAsia="zh-CN"/>
        </w:rPr>
        <w:t>（三）托管协议自生效之日起对托管协议当事人具有同等的法律约束力。</w:t>
      </w:r>
    </w:p>
    <w:p>
      <w:pPr>
        <w:ind w:firstLine="480"/>
        <w:rPr>
          <w:lang w:eastAsia="zh-CN"/>
        </w:rPr>
      </w:pPr>
      <w:r>
        <w:rPr>
          <w:rFonts w:hint="eastAsia"/>
          <w:lang w:eastAsia="zh-CN"/>
        </w:rPr>
        <w:t>（四）本协议一式三份，协议双方各持一份，上报有关监管部门一份，每份具有同等法律效力。</w:t>
      </w:r>
    </w:p>
    <w:p>
      <w:pPr>
        <w:ind w:firstLine="480"/>
        <w:rPr>
          <w:lang w:eastAsia="zh-CN"/>
        </w:rPr>
      </w:pPr>
    </w:p>
    <w:p>
      <w:pPr>
        <w:pStyle w:val="2"/>
        <w:rPr>
          <w:lang w:eastAsia="zh-CN"/>
        </w:rPr>
      </w:pPr>
      <w:bookmarkStart w:id="28" w:name="_Toc296541738"/>
      <w:r>
        <w:rPr>
          <w:rFonts w:hint="eastAsia"/>
          <w:lang w:eastAsia="zh-CN"/>
        </w:rPr>
        <w:t>二十、其他事项</w:t>
      </w:r>
      <w:bookmarkEnd w:id="28"/>
    </w:p>
    <w:p>
      <w:pPr>
        <w:ind w:firstLine="480"/>
        <w:rPr>
          <w:lang w:eastAsia="zh-CN"/>
        </w:rPr>
      </w:pPr>
      <w:r>
        <w:rPr>
          <w:rFonts w:hint="eastAsia"/>
          <w:lang w:eastAsia="zh-CN"/>
        </w:rPr>
        <w:t>除本协议有明确定义外，本协议的用语定义适用基金合同的约定。本协议未尽事宜，当事人依据基金合同、有关法律法规等规定协商办理。</w:t>
      </w:r>
    </w:p>
    <w:p>
      <w:pPr>
        <w:ind w:firstLine="480"/>
        <w:rPr>
          <w:lang w:eastAsia="zh-CN"/>
        </w:rPr>
      </w:pPr>
    </w:p>
    <w:p>
      <w:pPr>
        <w:pStyle w:val="2"/>
        <w:rPr>
          <w:lang w:eastAsia="zh-CN"/>
        </w:rPr>
      </w:pPr>
      <w:bookmarkStart w:id="29" w:name="_Toc296541739"/>
      <w:r>
        <w:rPr>
          <w:rFonts w:hint="eastAsia"/>
          <w:lang w:eastAsia="zh-CN"/>
        </w:rPr>
        <w:t>二十一、托管协议的签订</w:t>
      </w:r>
      <w:bookmarkEnd w:id="29"/>
    </w:p>
    <w:p>
      <w:pPr>
        <w:ind w:firstLine="480" w:firstLineChars="200"/>
        <w:rPr>
          <w:lang w:eastAsia="zh-CN"/>
        </w:rPr>
        <w:sectPr>
          <w:footerReference r:id="rId5" w:type="first"/>
          <w:headerReference r:id="rId3" w:type="default"/>
          <w:footerReference r:id="rId4" w:type="default"/>
          <w:pgSz w:w="11906" w:h="16838"/>
          <w:pgMar w:top="1440" w:right="1797" w:bottom="1440" w:left="1797" w:header="851" w:footer="992" w:gutter="0"/>
          <w:cols w:space="720" w:num="1"/>
          <w:titlePg/>
          <w:docGrid w:type="lines" w:linePitch="326" w:charSpace="0"/>
        </w:sectPr>
      </w:pPr>
      <w:r>
        <w:rPr>
          <w:rFonts w:hint="eastAsia"/>
          <w:lang w:eastAsia="zh-CN"/>
        </w:rPr>
        <w:t>本托管协议经基金管理人和基金托管人认可后，由该双方当事人在基金托管协议上盖章，并由各自的法定代表人或授权代表签字</w:t>
      </w:r>
      <w:r>
        <w:rPr>
          <w:lang w:eastAsia="zh-CN"/>
        </w:rPr>
        <w:t>(章)</w:t>
      </w:r>
      <w:r>
        <w:rPr>
          <w:rFonts w:hint="eastAsia"/>
          <w:lang w:eastAsia="zh-CN"/>
        </w:rPr>
        <w:t>，并注明基金托管协议的签订地点和签订日期。</w:t>
      </w:r>
    </w:p>
    <w:p>
      <w:pPr>
        <w:rPr>
          <w:lang w:eastAsia="zh-CN"/>
        </w:rPr>
      </w:pPr>
      <w:bookmarkStart w:id="30" w:name="_GoBack"/>
      <w:bookmarkEnd w:id="30"/>
    </w:p>
    <w:sectPr>
      <w:footerReference r:id="rId6" w:type="default"/>
      <w:pgSz w:w="11906" w:h="16838"/>
      <w:pgMar w:top="1440" w:right="1797" w:bottom="1440" w:left="179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lang w:eastAsia="zh-CN"/>
      </w:rPr>
    </w:pPr>
    <w:r>
      <w:rPr>
        <w:rFonts w:hint="eastAsia"/>
        <w:lang w:eastAsia="zh-CN"/>
      </w:rPr>
      <w:t xml:space="preserve">4 - </w:t>
    </w:r>
    <w:r>
      <w:fldChar w:fldCharType="begin"/>
    </w:r>
    <w:r>
      <w:instrText xml:space="preserve"> PAGE   \* MERGEFORMAT </w:instrText>
    </w:r>
    <w:r>
      <w:fldChar w:fldCharType="separate"/>
    </w:r>
    <w:r>
      <w:rPr>
        <w:lang w:val="zh-CN" w:eastAsia="zh-CN"/>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eastAsia="zh-CN"/>
      </w:rPr>
      <w:t>1</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rPr>
        <w:lang w:eastAsia="zh-CN"/>
      </w:rPr>
    </w:pPr>
    <w:r>
      <w:rPr>
        <w:rFonts w:hint="eastAsia"/>
        <w:lang w:eastAsia="zh-CN"/>
      </w:rPr>
      <w:t>浦银安盛养老目标日期</w:t>
    </w:r>
    <w:r>
      <w:rPr>
        <w:lang w:eastAsia="zh-CN"/>
      </w:rPr>
      <w:t xml:space="preserve">2040三年持有期混合型发起式基金中基金（FOF）              </w:t>
    </w:r>
    <w:r>
      <w:rPr>
        <w:rFonts w:hint="eastAsia"/>
        <w:lang w:eastAsia="zh-CN"/>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106"/>
    <w:rsid w:val="00012B9A"/>
    <w:rsid w:val="000143D0"/>
    <w:rsid w:val="00015D64"/>
    <w:rsid w:val="0002708F"/>
    <w:rsid w:val="00067F85"/>
    <w:rsid w:val="00071ADC"/>
    <w:rsid w:val="00073109"/>
    <w:rsid w:val="000813F7"/>
    <w:rsid w:val="000A2A12"/>
    <w:rsid w:val="000B42B3"/>
    <w:rsid w:val="000D3836"/>
    <w:rsid w:val="000D44B4"/>
    <w:rsid w:val="000F20C7"/>
    <w:rsid w:val="000F7219"/>
    <w:rsid w:val="000F76EA"/>
    <w:rsid w:val="00172A27"/>
    <w:rsid w:val="0017312E"/>
    <w:rsid w:val="00174764"/>
    <w:rsid w:val="0018248A"/>
    <w:rsid w:val="00184909"/>
    <w:rsid w:val="00196F24"/>
    <w:rsid w:val="001B1739"/>
    <w:rsid w:val="001B7FD6"/>
    <w:rsid w:val="001C36DE"/>
    <w:rsid w:val="001D1EAD"/>
    <w:rsid w:val="001F118B"/>
    <w:rsid w:val="001F3712"/>
    <w:rsid w:val="001F59D5"/>
    <w:rsid w:val="00201B90"/>
    <w:rsid w:val="002037F4"/>
    <w:rsid w:val="00203EA5"/>
    <w:rsid w:val="0021261F"/>
    <w:rsid w:val="002234E7"/>
    <w:rsid w:val="0022598E"/>
    <w:rsid w:val="0023080C"/>
    <w:rsid w:val="0023573E"/>
    <w:rsid w:val="002360A4"/>
    <w:rsid w:val="002404CE"/>
    <w:rsid w:val="002643B0"/>
    <w:rsid w:val="00274551"/>
    <w:rsid w:val="00275232"/>
    <w:rsid w:val="002952F2"/>
    <w:rsid w:val="002B2DDF"/>
    <w:rsid w:val="002E0450"/>
    <w:rsid w:val="002E5362"/>
    <w:rsid w:val="002F506A"/>
    <w:rsid w:val="003014E4"/>
    <w:rsid w:val="00310FDC"/>
    <w:rsid w:val="003125CC"/>
    <w:rsid w:val="003214F3"/>
    <w:rsid w:val="003243AC"/>
    <w:rsid w:val="00324863"/>
    <w:rsid w:val="003361A8"/>
    <w:rsid w:val="003457AA"/>
    <w:rsid w:val="0035200A"/>
    <w:rsid w:val="00381512"/>
    <w:rsid w:val="003825DE"/>
    <w:rsid w:val="00393455"/>
    <w:rsid w:val="003A6CBB"/>
    <w:rsid w:val="003B24BA"/>
    <w:rsid w:val="003B3161"/>
    <w:rsid w:val="003B6715"/>
    <w:rsid w:val="003B6DCD"/>
    <w:rsid w:val="003C23C6"/>
    <w:rsid w:val="003C6851"/>
    <w:rsid w:val="003E186E"/>
    <w:rsid w:val="003F162E"/>
    <w:rsid w:val="00403D83"/>
    <w:rsid w:val="004053A8"/>
    <w:rsid w:val="00407AD9"/>
    <w:rsid w:val="004104AD"/>
    <w:rsid w:val="00426251"/>
    <w:rsid w:val="0044236D"/>
    <w:rsid w:val="00447A82"/>
    <w:rsid w:val="004554B4"/>
    <w:rsid w:val="0047548D"/>
    <w:rsid w:val="004831A1"/>
    <w:rsid w:val="00483999"/>
    <w:rsid w:val="00490C8A"/>
    <w:rsid w:val="004A00EF"/>
    <w:rsid w:val="004A2900"/>
    <w:rsid w:val="004B0A18"/>
    <w:rsid w:val="004C3F0E"/>
    <w:rsid w:val="004F0B16"/>
    <w:rsid w:val="0050669C"/>
    <w:rsid w:val="00507EAF"/>
    <w:rsid w:val="005138A6"/>
    <w:rsid w:val="00522DB7"/>
    <w:rsid w:val="005279EE"/>
    <w:rsid w:val="00527CEA"/>
    <w:rsid w:val="0053044D"/>
    <w:rsid w:val="005318C1"/>
    <w:rsid w:val="00535F10"/>
    <w:rsid w:val="005430CA"/>
    <w:rsid w:val="00565D0B"/>
    <w:rsid w:val="00570592"/>
    <w:rsid w:val="00572646"/>
    <w:rsid w:val="0057405B"/>
    <w:rsid w:val="00575905"/>
    <w:rsid w:val="00577DC2"/>
    <w:rsid w:val="005838C8"/>
    <w:rsid w:val="00591C7F"/>
    <w:rsid w:val="005A57F2"/>
    <w:rsid w:val="005A7778"/>
    <w:rsid w:val="005B0D09"/>
    <w:rsid w:val="005C4152"/>
    <w:rsid w:val="005C4BE0"/>
    <w:rsid w:val="005E6382"/>
    <w:rsid w:val="005F2136"/>
    <w:rsid w:val="005F540B"/>
    <w:rsid w:val="005F542B"/>
    <w:rsid w:val="00625729"/>
    <w:rsid w:val="0064351B"/>
    <w:rsid w:val="006505D9"/>
    <w:rsid w:val="0067532E"/>
    <w:rsid w:val="00695B08"/>
    <w:rsid w:val="006A16D7"/>
    <w:rsid w:val="006A4A82"/>
    <w:rsid w:val="006B0FFC"/>
    <w:rsid w:val="006B189A"/>
    <w:rsid w:val="006B7492"/>
    <w:rsid w:val="006C5D7C"/>
    <w:rsid w:val="006D6F1B"/>
    <w:rsid w:val="006E6907"/>
    <w:rsid w:val="0070084E"/>
    <w:rsid w:val="00706A84"/>
    <w:rsid w:val="00716E6B"/>
    <w:rsid w:val="00724604"/>
    <w:rsid w:val="007260D4"/>
    <w:rsid w:val="00726D77"/>
    <w:rsid w:val="0073395C"/>
    <w:rsid w:val="00755689"/>
    <w:rsid w:val="0075728E"/>
    <w:rsid w:val="00757669"/>
    <w:rsid w:val="00764026"/>
    <w:rsid w:val="00765428"/>
    <w:rsid w:val="007861A7"/>
    <w:rsid w:val="00794DDD"/>
    <w:rsid w:val="00796C46"/>
    <w:rsid w:val="007A4DF4"/>
    <w:rsid w:val="007A61BC"/>
    <w:rsid w:val="007B71D1"/>
    <w:rsid w:val="007C1D7F"/>
    <w:rsid w:val="007D0A47"/>
    <w:rsid w:val="007E03B6"/>
    <w:rsid w:val="007E1B61"/>
    <w:rsid w:val="007F5E69"/>
    <w:rsid w:val="00805AC1"/>
    <w:rsid w:val="008125A7"/>
    <w:rsid w:val="00815F98"/>
    <w:rsid w:val="008300A5"/>
    <w:rsid w:val="00831BCD"/>
    <w:rsid w:val="008337AA"/>
    <w:rsid w:val="00843C08"/>
    <w:rsid w:val="0084670A"/>
    <w:rsid w:val="008469E9"/>
    <w:rsid w:val="00852157"/>
    <w:rsid w:val="008570E3"/>
    <w:rsid w:val="0086060F"/>
    <w:rsid w:val="00892EF5"/>
    <w:rsid w:val="00896606"/>
    <w:rsid w:val="008D1DA5"/>
    <w:rsid w:val="008E1CFE"/>
    <w:rsid w:val="008E3803"/>
    <w:rsid w:val="008E46BE"/>
    <w:rsid w:val="008E6248"/>
    <w:rsid w:val="008E62D8"/>
    <w:rsid w:val="00904AFD"/>
    <w:rsid w:val="00910116"/>
    <w:rsid w:val="009143FE"/>
    <w:rsid w:val="0091495D"/>
    <w:rsid w:val="00924ABC"/>
    <w:rsid w:val="0093025B"/>
    <w:rsid w:val="00931869"/>
    <w:rsid w:val="0095334D"/>
    <w:rsid w:val="009772C4"/>
    <w:rsid w:val="00983907"/>
    <w:rsid w:val="00987C3E"/>
    <w:rsid w:val="00990896"/>
    <w:rsid w:val="009A3917"/>
    <w:rsid w:val="009A6C10"/>
    <w:rsid w:val="009B1575"/>
    <w:rsid w:val="009B15A6"/>
    <w:rsid w:val="009C253A"/>
    <w:rsid w:val="009C31EC"/>
    <w:rsid w:val="009C34FC"/>
    <w:rsid w:val="009C4C75"/>
    <w:rsid w:val="009E1205"/>
    <w:rsid w:val="009E298E"/>
    <w:rsid w:val="009F3AD3"/>
    <w:rsid w:val="00A010F1"/>
    <w:rsid w:val="00A21045"/>
    <w:rsid w:val="00A34363"/>
    <w:rsid w:val="00A34AFB"/>
    <w:rsid w:val="00A36207"/>
    <w:rsid w:val="00A578E0"/>
    <w:rsid w:val="00A65154"/>
    <w:rsid w:val="00A91F0B"/>
    <w:rsid w:val="00A978BE"/>
    <w:rsid w:val="00AA1E73"/>
    <w:rsid w:val="00AA73BB"/>
    <w:rsid w:val="00AB053C"/>
    <w:rsid w:val="00AB4387"/>
    <w:rsid w:val="00AD5BCB"/>
    <w:rsid w:val="00AD7121"/>
    <w:rsid w:val="00AE34B7"/>
    <w:rsid w:val="00AF2686"/>
    <w:rsid w:val="00B01B06"/>
    <w:rsid w:val="00B02173"/>
    <w:rsid w:val="00B02C03"/>
    <w:rsid w:val="00B034B5"/>
    <w:rsid w:val="00B06792"/>
    <w:rsid w:val="00B22FDE"/>
    <w:rsid w:val="00B4439A"/>
    <w:rsid w:val="00B44D87"/>
    <w:rsid w:val="00B5032F"/>
    <w:rsid w:val="00B56103"/>
    <w:rsid w:val="00B608B7"/>
    <w:rsid w:val="00B64B97"/>
    <w:rsid w:val="00B67963"/>
    <w:rsid w:val="00B9309A"/>
    <w:rsid w:val="00BA27B1"/>
    <w:rsid w:val="00BB1210"/>
    <w:rsid w:val="00BD0E83"/>
    <w:rsid w:val="00C00485"/>
    <w:rsid w:val="00C00DCE"/>
    <w:rsid w:val="00C22EC5"/>
    <w:rsid w:val="00C2572F"/>
    <w:rsid w:val="00C3087C"/>
    <w:rsid w:val="00C36E4E"/>
    <w:rsid w:val="00C40918"/>
    <w:rsid w:val="00C40C03"/>
    <w:rsid w:val="00C4131E"/>
    <w:rsid w:val="00C72A68"/>
    <w:rsid w:val="00C8036F"/>
    <w:rsid w:val="00C83939"/>
    <w:rsid w:val="00C847B6"/>
    <w:rsid w:val="00C86C96"/>
    <w:rsid w:val="00CA2EA5"/>
    <w:rsid w:val="00CE05F0"/>
    <w:rsid w:val="00CE3570"/>
    <w:rsid w:val="00CF3742"/>
    <w:rsid w:val="00D01C1B"/>
    <w:rsid w:val="00D161D5"/>
    <w:rsid w:val="00D32AB7"/>
    <w:rsid w:val="00D34385"/>
    <w:rsid w:val="00D6711C"/>
    <w:rsid w:val="00D97B2A"/>
    <w:rsid w:val="00DA30FB"/>
    <w:rsid w:val="00DA4230"/>
    <w:rsid w:val="00DA49A3"/>
    <w:rsid w:val="00DC1A18"/>
    <w:rsid w:val="00DC51CA"/>
    <w:rsid w:val="00DC6CB3"/>
    <w:rsid w:val="00DD5BEC"/>
    <w:rsid w:val="00DE631D"/>
    <w:rsid w:val="00DE6CE1"/>
    <w:rsid w:val="00E006BE"/>
    <w:rsid w:val="00E13DF8"/>
    <w:rsid w:val="00E1406E"/>
    <w:rsid w:val="00E2275D"/>
    <w:rsid w:val="00E32462"/>
    <w:rsid w:val="00E644FB"/>
    <w:rsid w:val="00E67C48"/>
    <w:rsid w:val="00E75FA4"/>
    <w:rsid w:val="00E764AA"/>
    <w:rsid w:val="00E7737F"/>
    <w:rsid w:val="00EB26D6"/>
    <w:rsid w:val="00EB2A69"/>
    <w:rsid w:val="00EB51A9"/>
    <w:rsid w:val="00EB6245"/>
    <w:rsid w:val="00EB6E2E"/>
    <w:rsid w:val="00EC04FD"/>
    <w:rsid w:val="00EC184B"/>
    <w:rsid w:val="00ED7079"/>
    <w:rsid w:val="00ED7E42"/>
    <w:rsid w:val="00EE6F61"/>
    <w:rsid w:val="00EF3339"/>
    <w:rsid w:val="00EF73C4"/>
    <w:rsid w:val="00F0353D"/>
    <w:rsid w:val="00F048B2"/>
    <w:rsid w:val="00F21A48"/>
    <w:rsid w:val="00F25D27"/>
    <w:rsid w:val="00F27BDD"/>
    <w:rsid w:val="00F319B9"/>
    <w:rsid w:val="00F32CCE"/>
    <w:rsid w:val="00F3508A"/>
    <w:rsid w:val="00F62113"/>
    <w:rsid w:val="00F644FA"/>
    <w:rsid w:val="00F80E47"/>
    <w:rsid w:val="00F83AF2"/>
    <w:rsid w:val="00F97736"/>
    <w:rsid w:val="00FB1BAB"/>
    <w:rsid w:val="00FC6D64"/>
    <w:rsid w:val="00FD3E41"/>
    <w:rsid w:val="00FD5AAB"/>
    <w:rsid w:val="00FE3D34"/>
    <w:rsid w:val="6F504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宋体" w:hAnsi="宋体" w:eastAsia="宋体" w:cs="Times New Roman"/>
      <w:sz w:val="24"/>
      <w:szCs w:val="24"/>
      <w:lang w:val="en-US" w:eastAsia="en-US" w:bidi="ar-SA"/>
    </w:rPr>
  </w:style>
  <w:style w:type="paragraph" w:styleId="2">
    <w:name w:val="heading 1"/>
    <w:basedOn w:val="1"/>
    <w:next w:val="1"/>
    <w:link w:val="34"/>
    <w:qFormat/>
    <w:uiPriority w:val="0"/>
    <w:pPr>
      <w:keepNext/>
      <w:outlineLvl w:val="0"/>
    </w:pPr>
    <w:rPr>
      <w:rFonts w:ascii="Cambria" w:hAnsi="Cambria"/>
      <w:b/>
      <w:bCs/>
      <w:kern w:val="32"/>
      <w:sz w:val="32"/>
      <w:szCs w:val="32"/>
    </w:rPr>
  </w:style>
  <w:style w:type="paragraph" w:styleId="3">
    <w:name w:val="heading 2"/>
    <w:basedOn w:val="1"/>
    <w:next w:val="1"/>
    <w:link w:val="27"/>
    <w:qFormat/>
    <w:uiPriority w:val="0"/>
    <w:pPr>
      <w:keepNext/>
      <w:spacing w:before="240" w:after="60"/>
      <w:outlineLvl w:val="1"/>
    </w:pPr>
    <w:rPr>
      <w:rFonts w:ascii="Cambria" w:hAnsi="Cambria"/>
      <w:b/>
      <w:bCs/>
      <w:i/>
      <w:iCs/>
      <w:sz w:val="28"/>
      <w:szCs w:val="28"/>
    </w:rPr>
  </w:style>
  <w:style w:type="paragraph" w:styleId="4">
    <w:name w:val="heading 3"/>
    <w:basedOn w:val="1"/>
    <w:next w:val="1"/>
    <w:link w:val="32"/>
    <w:qFormat/>
    <w:uiPriority w:val="0"/>
    <w:pPr>
      <w:keepNext/>
      <w:spacing w:before="240" w:after="60"/>
      <w:outlineLvl w:val="2"/>
    </w:pPr>
    <w:rPr>
      <w:rFonts w:ascii="Cambria" w:hAnsi="Cambria"/>
      <w:b/>
      <w:bCs/>
      <w:sz w:val="26"/>
      <w:szCs w:val="26"/>
    </w:rPr>
  </w:style>
  <w:style w:type="paragraph" w:styleId="5">
    <w:name w:val="heading 4"/>
    <w:basedOn w:val="1"/>
    <w:next w:val="1"/>
    <w:link w:val="36"/>
    <w:qFormat/>
    <w:uiPriority w:val="0"/>
    <w:pPr>
      <w:keepNext/>
      <w:spacing w:before="240" w:after="60"/>
      <w:outlineLvl w:val="3"/>
    </w:pPr>
    <w:rPr>
      <w:b/>
      <w:bCs/>
      <w:sz w:val="28"/>
      <w:szCs w:val="28"/>
    </w:rPr>
  </w:style>
  <w:style w:type="paragraph" w:styleId="6">
    <w:name w:val="heading 5"/>
    <w:basedOn w:val="1"/>
    <w:next w:val="1"/>
    <w:link w:val="28"/>
    <w:qFormat/>
    <w:uiPriority w:val="0"/>
    <w:pPr>
      <w:spacing w:before="240" w:after="60"/>
      <w:outlineLvl w:val="4"/>
    </w:pPr>
    <w:rPr>
      <w:b/>
      <w:bCs/>
      <w:i/>
      <w:iCs/>
      <w:sz w:val="26"/>
      <w:szCs w:val="26"/>
    </w:rPr>
  </w:style>
  <w:style w:type="paragraph" w:styleId="7">
    <w:name w:val="heading 6"/>
    <w:basedOn w:val="1"/>
    <w:next w:val="1"/>
    <w:link w:val="24"/>
    <w:qFormat/>
    <w:uiPriority w:val="0"/>
    <w:pPr>
      <w:spacing w:before="240" w:after="60"/>
      <w:outlineLvl w:val="5"/>
    </w:pPr>
    <w:rPr>
      <w:b/>
      <w:bCs/>
    </w:rPr>
  </w:style>
  <w:style w:type="paragraph" w:styleId="8">
    <w:name w:val="heading 7"/>
    <w:basedOn w:val="1"/>
    <w:next w:val="1"/>
    <w:link w:val="23"/>
    <w:qFormat/>
    <w:uiPriority w:val="0"/>
    <w:pPr>
      <w:spacing w:before="240" w:after="60"/>
      <w:outlineLvl w:val="6"/>
    </w:pPr>
  </w:style>
  <w:style w:type="paragraph" w:styleId="9">
    <w:name w:val="heading 8"/>
    <w:basedOn w:val="1"/>
    <w:next w:val="1"/>
    <w:link w:val="30"/>
    <w:qFormat/>
    <w:uiPriority w:val="0"/>
    <w:pPr>
      <w:spacing w:before="240" w:after="60"/>
      <w:outlineLvl w:val="7"/>
    </w:pPr>
    <w:rPr>
      <w:i/>
      <w:iCs/>
    </w:rPr>
  </w:style>
  <w:style w:type="paragraph" w:styleId="10">
    <w:name w:val="heading 9"/>
    <w:basedOn w:val="1"/>
    <w:next w:val="1"/>
    <w:link w:val="35"/>
    <w:qFormat/>
    <w:uiPriority w:val="0"/>
    <w:pPr>
      <w:spacing w:before="240" w:after="60"/>
      <w:outlineLvl w:val="8"/>
    </w:pPr>
    <w:rPr>
      <w:rFonts w:ascii="Cambria" w:hAnsi="Cambria"/>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Document Map"/>
    <w:basedOn w:val="1"/>
    <w:uiPriority w:val="0"/>
    <w:pPr>
      <w:shd w:val="clear" w:color="auto" w:fill="000080"/>
    </w:pPr>
  </w:style>
  <w:style w:type="paragraph" w:styleId="12">
    <w:name w:val="annotation text"/>
    <w:basedOn w:val="1"/>
    <w:link w:val="33"/>
    <w:qFormat/>
    <w:uiPriority w:val="0"/>
  </w:style>
  <w:style w:type="paragraph" w:styleId="13">
    <w:name w:val="Date"/>
    <w:basedOn w:val="1"/>
    <w:next w:val="1"/>
    <w:link w:val="31"/>
    <w:uiPriority w:val="0"/>
    <w:pPr>
      <w:ind w:left="100" w:leftChars="2500"/>
    </w:pPr>
  </w:style>
  <w:style w:type="paragraph" w:styleId="14">
    <w:name w:val="Balloon Text"/>
    <w:basedOn w:val="1"/>
    <w:link w:val="26"/>
    <w:uiPriority w:val="0"/>
    <w:pPr>
      <w:spacing w:line="240" w:lineRule="auto"/>
    </w:pPr>
    <w:rPr>
      <w:sz w:val="18"/>
      <w:szCs w:val="18"/>
    </w:rPr>
  </w:style>
  <w:style w:type="paragraph" w:styleId="15">
    <w:name w:val="footer"/>
    <w:basedOn w:val="1"/>
    <w:link w:val="37"/>
    <w:qFormat/>
    <w:uiPriority w:val="0"/>
    <w:pPr>
      <w:tabs>
        <w:tab w:val="center" w:pos="4153"/>
        <w:tab w:val="right" w:pos="8306"/>
      </w:tabs>
      <w:snapToGrid w:val="0"/>
      <w:spacing w:line="240" w:lineRule="auto"/>
    </w:pPr>
    <w:rPr>
      <w:sz w:val="18"/>
      <w:szCs w:val="18"/>
    </w:rPr>
  </w:style>
  <w:style w:type="paragraph" w:styleId="16">
    <w:name w:val="header"/>
    <w:basedOn w:val="1"/>
    <w:link w:val="25"/>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7">
    <w:name w:val="toc 1"/>
    <w:basedOn w:val="1"/>
    <w:next w:val="1"/>
    <w:uiPriority w:val="0"/>
  </w:style>
  <w:style w:type="paragraph" w:styleId="18">
    <w:name w:val="annotation subject"/>
    <w:basedOn w:val="12"/>
    <w:next w:val="12"/>
    <w:uiPriority w:val="0"/>
    <w:rPr>
      <w:b/>
      <w:bCs/>
    </w:rPr>
  </w:style>
  <w:style w:type="character" w:styleId="21">
    <w:name w:val="Hyperlink"/>
    <w:qFormat/>
    <w:uiPriority w:val="0"/>
    <w:rPr>
      <w:rFonts w:cs="Times New Roman"/>
      <w:color w:val="0000FF"/>
      <w:u w:val="single"/>
    </w:rPr>
  </w:style>
  <w:style w:type="character" w:styleId="22">
    <w:name w:val="annotation reference"/>
    <w:qFormat/>
    <w:uiPriority w:val="0"/>
    <w:rPr>
      <w:rFonts w:cs="Times New Roman"/>
      <w:sz w:val="21"/>
      <w:szCs w:val="21"/>
    </w:rPr>
  </w:style>
  <w:style w:type="character" w:customStyle="1" w:styleId="23">
    <w:name w:val="标题 7 Char"/>
    <w:link w:val="8"/>
    <w:qFormat/>
    <w:uiPriority w:val="0"/>
    <w:rPr>
      <w:rFonts w:cs="Times New Roman"/>
      <w:sz w:val="24"/>
      <w:szCs w:val="24"/>
    </w:rPr>
  </w:style>
  <w:style w:type="character" w:customStyle="1" w:styleId="24">
    <w:name w:val="标题 6 Char"/>
    <w:link w:val="7"/>
    <w:qFormat/>
    <w:uiPriority w:val="0"/>
    <w:rPr>
      <w:rFonts w:cs="Times New Roman"/>
      <w:b/>
      <w:bCs/>
    </w:rPr>
  </w:style>
  <w:style w:type="character" w:customStyle="1" w:styleId="25">
    <w:name w:val="页眉 Char"/>
    <w:link w:val="16"/>
    <w:qFormat/>
    <w:uiPriority w:val="0"/>
    <w:rPr>
      <w:rFonts w:ascii="宋体" w:eastAsia="宋体" w:cs="Times New Roman"/>
      <w:sz w:val="18"/>
      <w:szCs w:val="18"/>
    </w:rPr>
  </w:style>
  <w:style w:type="character" w:customStyle="1" w:styleId="26">
    <w:name w:val="批注框文本 Char"/>
    <w:link w:val="14"/>
    <w:qFormat/>
    <w:uiPriority w:val="0"/>
    <w:rPr>
      <w:rFonts w:ascii="宋体" w:eastAsia="宋体" w:cs="Times New Roman"/>
      <w:sz w:val="18"/>
      <w:szCs w:val="18"/>
    </w:rPr>
  </w:style>
  <w:style w:type="character" w:customStyle="1" w:styleId="27">
    <w:name w:val="标题 2 Char"/>
    <w:link w:val="3"/>
    <w:qFormat/>
    <w:uiPriority w:val="0"/>
    <w:rPr>
      <w:rFonts w:ascii="Cambria" w:hAnsi="Cambria" w:eastAsia="宋体" w:cs="Times New Roman"/>
      <w:b/>
      <w:bCs/>
      <w:i/>
      <w:iCs/>
      <w:sz w:val="28"/>
      <w:szCs w:val="28"/>
    </w:rPr>
  </w:style>
  <w:style w:type="character" w:customStyle="1" w:styleId="28">
    <w:name w:val="标题 5 Char"/>
    <w:link w:val="6"/>
    <w:qFormat/>
    <w:uiPriority w:val="0"/>
    <w:rPr>
      <w:rFonts w:cs="Times New Roman"/>
      <w:b/>
      <w:bCs/>
      <w:i/>
      <w:iCs/>
      <w:sz w:val="26"/>
      <w:szCs w:val="26"/>
    </w:rPr>
  </w:style>
  <w:style w:type="character" w:customStyle="1" w:styleId="29">
    <w:name w:val="read"/>
    <w:basedOn w:val="20"/>
    <w:qFormat/>
    <w:uiPriority w:val="0"/>
  </w:style>
  <w:style w:type="character" w:customStyle="1" w:styleId="30">
    <w:name w:val="标题 8 Char"/>
    <w:link w:val="9"/>
    <w:qFormat/>
    <w:uiPriority w:val="0"/>
    <w:rPr>
      <w:rFonts w:cs="Times New Roman"/>
      <w:i/>
      <w:iCs/>
      <w:sz w:val="24"/>
      <w:szCs w:val="24"/>
    </w:rPr>
  </w:style>
  <w:style w:type="character" w:customStyle="1" w:styleId="31">
    <w:name w:val="日期 Char"/>
    <w:link w:val="13"/>
    <w:qFormat/>
    <w:uiPriority w:val="0"/>
    <w:rPr>
      <w:rFonts w:ascii="宋体" w:eastAsia="宋体" w:cs="Times New Roman"/>
    </w:rPr>
  </w:style>
  <w:style w:type="character" w:customStyle="1" w:styleId="32">
    <w:name w:val="标题 3 Char"/>
    <w:link w:val="4"/>
    <w:qFormat/>
    <w:uiPriority w:val="0"/>
    <w:rPr>
      <w:rFonts w:ascii="Cambria" w:hAnsi="Cambria" w:eastAsia="宋体" w:cs="Times New Roman"/>
      <w:b/>
      <w:bCs/>
      <w:sz w:val="26"/>
      <w:szCs w:val="26"/>
    </w:rPr>
  </w:style>
  <w:style w:type="character" w:customStyle="1" w:styleId="33">
    <w:name w:val="批注文字 Char"/>
    <w:link w:val="12"/>
    <w:qFormat/>
    <w:uiPriority w:val="0"/>
    <w:rPr>
      <w:rFonts w:ascii="宋体" w:hAnsi="宋体" w:eastAsia="宋体"/>
      <w:sz w:val="24"/>
      <w:szCs w:val="24"/>
      <w:lang w:val="en-US" w:eastAsia="en-US" w:bidi="ar-SA"/>
    </w:rPr>
  </w:style>
  <w:style w:type="character" w:customStyle="1" w:styleId="34">
    <w:name w:val="标题 1 Char"/>
    <w:link w:val="2"/>
    <w:qFormat/>
    <w:uiPriority w:val="0"/>
    <w:rPr>
      <w:rFonts w:ascii="Cambria" w:hAnsi="Cambria" w:eastAsia="宋体" w:cs="Times New Roman"/>
      <w:b/>
      <w:bCs/>
      <w:kern w:val="32"/>
      <w:sz w:val="32"/>
      <w:szCs w:val="32"/>
    </w:rPr>
  </w:style>
  <w:style w:type="character" w:customStyle="1" w:styleId="35">
    <w:name w:val="标题 9 Char"/>
    <w:link w:val="10"/>
    <w:qFormat/>
    <w:uiPriority w:val="0"/>
    <w:rPr>
      <w:rFonts w:ascii="Cambria" w:hAnsi="Cambria" w:eastAsia="宋体" w:cs="Times New Roman"/>
    </w:rPr>
  </w:style>
  <w:style w:type="character" w:customStyle="1" w:styleId="36">
    <w:name w:val="标题 4 Char"/>
    <w:link w:val="5"/>
    <w:qFormat/>
    <w:uiPriority w:val="0"/>
    <w:rPr>
      <w:rFonts w:cs="Times New Roman"/>
      <w:b/>
      <w:bCs/>
      <w:sz w:val="28"/>
      <w:szCs w:val="28"/>
    </w:rPr>
  </w:style>
  <w:style w:type="character" w:customStyle="1" w:styleId="37">
    <w:name w:val="页脚 Char"/>
    <w:link w:val="15"/>
    <w:qFormat/>
    <w:uiPriority w:val="0"/>
    <w:rPr>
      <w:rFonts w:ascii="宋体" w:eastAsia="宋体" w:cs="Times New Roman"/>
      <w:sz w:val="18"/>
      <w:szCs w:val="18"/>
    </w:rPr>
  </w:style>
  <w:style w:type="paragraph" w:customStyle="1" w:styleId="38">
    <w:name w:val="Revision"/>
    <w:qFormat/>
    <w:uiPriority w:val="0"/>
    <w:rPr>
      <w:rFonts w:ascii="宋体" w:hAnsi="宋体" w:eastAsia="宋体" w:cs="Times New Roman"/>
      <w:sz w:val="24"/>
      <w:szCs w:val="24"/>
      <w:lang w:val="en-US" w:eastAsia="en-US" w:bidi="ar-SA"/>
    </w:rPr>
  </w:style>
  <w:style w:type="paragraph" w:customStyle="1" w:styleId="3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TOC 标题1"/>
    <w:basedOn w:val="2"/>
    <w:next w:val="1"/>
    <w:qFormat/>
    <w:uiPriority w:val="0"/>
    <w:pPr>
      <w:outlineLvl w:val="9"/>
    </w:pPr>
  </w:style>
  <w:style w:type="paragraph" w:customStyle="1" w:styleId="41">
    <w:name w:val="修订1"/>
    <w:qFormat/>
    <w:uiPriority w:val="0"/>
    <w:rPr>
      <w:rFonts w:ascii="宋体" w:hAnsi="宋体" w:eastAsia="宋体"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易方达基金管理有限公司</Company>
  <Pages>52</Pages>
  <Words>5533</Words>
  <Characters>31543</Characters>
  <Lines>262</Lines>
  <Paragraphs>74</Paragraphs>
  <TotalTime>4</TotalTime>
  <ScaleCrop>false</ScaleCrop>
  <LinksUpToDate>false</LinksUpToDate>
  <CharactersWithSpaces>37002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2020-03-24T10:32:00Z</dcterms:created>
  <dc:creator>张明 Armin</dc:creator>
  <cp:lastModifiedBy>张干</cp:lastModifiedBy>
  <cp:lastPrinted>2011-11-06T13:39:00Z</cp:lastPrinted>
  <dcterms:modified xsi:type="dcterms:W3CDTF">2021-01-04T07:35:18Z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