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60"/>
        </w:tabs>
        <w:spacing w:line="360" w:lineRule="auto"/>
        <w:jc w:val="center"/>
        <w:rPr>
          <w:bCs/>
          <w:sz w:val="44"/>
        </w:rPr>
      </w:pPr>
    </w:p>
    <w:p>
      <w:pPr>
        <w:jc w:val="center"/>
        <w:rPr>
          <w:b/>
          <w:sz w:val="52"/>
        </w:rPr>
      </w:pPr>
    </w:p>
    <w:p>
      <w:pPr>
        <w:jc w:val="center"/>
        <w:rPr>
          <w:b/>
          <w:sz w:val="52"/>
        </w:rPr>
      </w:pPr>
      <w:r>
        <w:rPr>
          <w:rFonts w:hint="eastAsia"/>
          <w:b/>
          <w:sz w:val="52"/>
        </w:rPr>
        <w:t>平安</w:t>
      </w:r>
      <w:r>
        <w:rPr>
          <w:b/>
          <w:sz w:val="52"/>
        </w:rPr>
        <w:t>基金管理有限公司</w:t>
      </w:r>
    </w:p>
    <w:p>
      <w:pPr>
        <w:rPr>
          <w:b/>
        </w:rPr>
      </w:pPr>
    </w:p>
    <w:p>
      <w:pPr>
        <w:jc w:val="center"/>
        <w:rPr>
          <w:b/>
          <w:sz w:val="52"/>
        </w:rPr>
      </w:pPr>
    </w:p>
    <w:p>
      <w:pPr>
        <w:jc w:val="center"/>
        <w:rPr>
          <w:b/>
          <w:sz w:val="48"/>
        </w:rPr>
      </w:pPr>
      <w:r>
        <w:rPr>
          <w:rFonts w:hint="eastAsia"/>
          <w:b/>
          <w:sz w:val="48"/>
        </w:rPr>
        <w:t>平安瑞兴一年定期开放混合型证券投资基金</w:t>
      </w:r>
      <w:bookmarkStart w:id="0" w:name="_Toc123112262"/>
      <w:bookmarkStart w:id="1" w:name="_Toc123112223"/>
      <w:bookmarkStart w:id="2" w:name="_Toc139992300"/>
      <w:bookmarkStart w:id="3" w:name="_Toc123701382"/>
      <w:bookmarkStart w:id="4" w:name="_Toc139991725"/>
      <w:r>
        <w:rPr>
          <w:b/>
          <w:sz w:val="48"/>
        </w:rPr>
        <w:t>基金合同</w:t>
      </w:r>
      <w:bookmarkEnd w:id="0"/>
      <w:bookmarkEnd w:id="1"/>
      <w:bookmarkEnd w:id="2"/>
      <w:bookmarkEnd w:id="3"/>
      <w:bookmarkEnd w:id="4"/>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Pr>
        <w:rPr>
          <w:b/>
        </w:rPr>
      </w:pPr>
    </w:p>
    <w:p>
      <w:pPr>
        <w:jc w:val="center"/>
        <w:rPr>
          <w:b/>
          <w:sz w:val="36"/>
        </w:rPr>
      </w:pPr>
      <w:bookmarkStart w:id="5" w:name="_Toc123701383"/>
      <w:bookmarkStart w:id="6" w:name="_Toc123112263"/>
      <w:bookmarkStart w:id="7" w:name="_Toc139991726"/>
      <w:bookmarkStart w:id="8" w:name="_Toc139992301"/>
      <w:bookmarkStart w:id="9" w:name="_Toc123112224"/>
      <w:r>
        <w:rPr>
          <w:b/>
          <w:sz w:val="36"/>
        </w:rPr>
        <w:t>基金管理人：</w:t>
      </w:r>
      <w:bookmarkEnd w:id="5"/>
      <w:bookmarkEnd w:id="6"/>
      <w:bookmarkEnd w:id="7"/>
      <w:bookmarkEnd w:id="8"/>
      <w:bookmarkEnd w:id="9"/>
      <w:r>
        <w:rPr>
          <w:rFonts w:hint="eastAsia"/>
          <w:b/>
          <w:sz w:val="36"/>
        </w:rPr>
        <w:t>平安基金管理有限公司</w:t>
      </w:r>
      <w:r>
        <w:rPr>
          <w:b/>
          <w:sz w:val="36"/>
        </w:rPr>
        <w:t xml:space="preserve">    </w:t>
      </w:r>
    </w:p>
    <w:p>
      <w:pPr>
        <w:jc w:val="center"/>
        <w:rPr>
          <w:b/>
          <w:sz w:val="36"/>
        </w:rPr>
      </w:pPr>
      <w:bookmarkStart w:id="10" w:name="_Toc123701384"/>
      <w:bookmarkStart w:id="11" w:name="_Toc123112264"/>
      <w:bookmarkStart w:id="12" w:name="_Toc139992302"/>
      <w:bookmarkStart w:id="13" w:name="_Toc139991727"/>
      <w:bookmarkStart w:id="14" w:name="_Toc123112225"/>
      <w:r>
        <w:rPr>
          <w:b/>
          <w:sz w:val="36"/>
        </w:rPr>
        <w:t>基金托管人：</w:t>
      </w:r>
      <w:r>
        <w:rPr>
          <w:rFonts w:hint="eastAsia"/>
          <w:b/>
          <w:sz w:val="36"/>
        </w:rPr>
        <w:t>中国邮政储蓄银行股份有限公司</w:t>
      </w:r>
      <w:r>
        <w:rPr>
          <w:b/>
          <w:sz w:val="36"/>
        </w:rPr>
        <w:t xml:space="preserve">          </w:t>
      </w:r>
      <w:bookmarkEnd w:id="10"/>
      <w:bookmarkEnd w:id="11"/>
      <w:bookmarkEnd w:id="12"/>
      <w:bookmarkEnd w:id="13"/>
      <w:bookmarkEnd w:id="14"/>
      <w:r>
        <w:rPr>
          <w:b/>
          <w:sz w:val="36"/>
        </w:rPr>
        <w:t xml:space="preserve"> </w:t>
      </w:r>
    </w:p>
    <w:p>
      <w:pPr>
        <w:jc w:val="center"/>
        <w:rPr>
          <w:bCs/>
          <w:sz w:val="32"/>
        </w:rPr>
      </w:pPr>
    </w:p>
    <w:p>
      <w:pPr>
        <w:jc w:val="center"/>
        <w:rPr>
          <w:bCs/>
          <w:sz w:val="28"/>
        </w:rPr>
      </w:pPr>
      <w:bookmarkStart w:id="15" w:name="_Toc123701386"/>
      <w:bookmarkStart w:id="16" w:name="_Toc123112227"/>
      <w:bookmarkStart w:id="17" w:name="_Toc123112266"/>
      <w:bookmarkStart w:id="18" w:name="_Toc139991729"/>
    </w:p>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b/>
          <w:bCs/>
          <w:sz w:val="30"/>
        </w:rPr>
        <w:t>二零二零年八月</w:t>
      </w:r>
    </w:p>
    <w:p>
      <w:pPr>
        <w:jc w:val="center"/>
        <w:rPr>
          <w:bCs/>
          <w:sz w:val="28"/>
        </w:rPr>
      </w:pPr>
      <w:r>
        <w:rPr>
          <w:bCs/>
          <w:sz w:val="28"/>
        </w:rPr>
        <w:t>目    录</w:t>
      </w:r>
      <w:bookmarkEnd w:id="15"/>
      <w:bookmarkEnd w:id="16"/>
      <w:bookmarkEnd w:id="17"/>
      <w:bookmarkEnd w:id="18"/>
    </w:p>
    <w:p>
      <w:pPr>
        <w:pStyle w:val="15"/>
        <w:rPr>
          <w:rFonts w:asciiTheme="minorHAnsi" w:hAnsiTheme="minorHAnsi" w:eastAsiaTheme="minorEastAsia" w:cstheme="minorBidi"/>
          <w:szCs w:val="22"/>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"_Toc19173696" </w:instrText>
      </w:r>
      <w:r>
        <w:fldChar w:fldCharType="separate"/>
      </w:r>
      <w:r>
        <w:rPr>
          <w:rStyle w:val="23"/>
          <w:rFonts w:hint="eastAsia"/>
        </w:rPr>
        <w:t>第一部分</w:t>
      </w:r>
      <w:r>
        <w:rPr>
          <w:rStyle w:val="23"/>
        </w:rPr>
        <w:t xml:space="preserve">  </w:t>
      </w:r>
      <w:r>
        <w:rPr>
          <w:rStyle w:val="23"/>
          <w:rFonts w:hint="eastAsia"/>
        </w:rPr>
        <w:t>前言</w:t>
      </w:r>
      <w:r>
        <w:tab/>
      </w:r>
      <w:r>
        <w:fldChar w:fldCharType="begin"/>
      </w:r>
      <w:r>
        <w:instrText xml:space="preserve"> PAGEREF _Toc19173696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"_Toc19173697" </w:instrText>
      </w:r>
      <w:r>
        <w:fldChar w:fldCharType="separate"/>
      </w:r>
      <w:r>
        <w:rPr>
          <w:rStyle w:val="23"/>
          <w:rFonts w:hint="eastAsia"/>
        </w:rPr>
        <w:t>第二部分</w:t>
      </w:r>
      <w:r>
        <w:rPr>
          <w:rStyle w:val="23"/>
        </w:rPr>
        <w:t xml:space="preserve"> </w:t>
      </w:r>
      <w:r>
        <w:rPr>
          <w:rStyle w:val="23"/>
          <w:rFonts w:hint="eastAsia"/>
        </w:rPr>
        <w:t>释义</w:t>
      </w:r>
      <w:r>
        <w:tab/>
      </w:r>
      <w:r>
        <w:fldChar w:fldCharType="begin"/>
      </w:r>
      <w:r>
        <w:instrText xml:space="preserve"> PAGEREF _Toc19173697 \h </w:instrText>
      </w:r>
      <w:r>
        <w:fldChar w:fldCharType="separate"/>
      </w:r>
      <w:r>
        <w:t>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"_Toc19173698" </w:instrText>
      </w:r>
      <w:r>
        <w:fldChar w:fldCharType="separate"/>
      </w:r>
      <w:r>
        <w:rPr>
          <w:rStyle w:val="23"/>
          <w:rFonts w:hint="eastAsia"/>
        </w:rPr>
        <w:t>第三部分</w:t>
      </w:r>
      <w:r>
        <w:rPr>
          <w:rStyle w:val="23"/>
        </w:rPr>
        <w:t xml:space="preserve">  </w:t>
      </w:r>
      <w:r>
        <w:rPr>
          <w:rStyle w:val="23"/>
          <w:rFonts w:hint="eastAsia"/>
        </w:rPr>
        <w:t>基金的基本情况</w:t>
      </w:r>
      <w:r>
        <w:tab/>
      </w:r>
      <w:r>
        <w:fldChar w:fldCharType="begin"/>
      </w:r>
      <w:r>
        <w:instrText xml:space="preserve"> PAGEREF _Toc19173698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"_Toc19173699" </w:instrText>
      </w:r>
      <w:r>
        <w:fldChar w:fldCharType="separate"/>
      </w:r>
      <w:r>
        <w:rPr>
          <w:rStyle w:val="23"/>
          <w:rFonts w:hint="eastAsia"/>
        </w:rPr>
        <w:t>第四部分</w:t>
      </w:r>
      <w:r>
        <w:rPr>
          <w:rStyle w:val="23"/>
        </w:rPr>
        <w:t xml:space="preserve">  </w:t>
      </w:r>
      <w:r>
        <w:rPr>
          <w:rStyle w:val="23"/>
          <w:rFonts w:hint="eastAsia"/>
        </w:rPr>
        <w:t>基金份额的发售</w:t>
      </w:r>
      <w:r>
        <w:tab/>
      </w:r>
      <w:r>
        <w:fldChar w:fldCharType="begin"/>
      </w:r>
      <w:r>
        <w:instrText xml:space="preserve"> PAGEREF _Toc19173699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"_Toc19173700" </w:instrText>
      </w:r>
      <w:r>
        <w:fldChar w:fldCharType="separate"/>
      </w:r>
      <w:r>
        <w:rPr>
          <w:rStyle w:val="23"/>
          <w:rFonts w:hint="eastAsia"/>
        </w:rPr>
        <w:t>第五部分</w:t>
      </w:r>
      <w:r>
        <w:rPr>
          <w:rStyle w:val="23"/>
        </w:rPr>
        <w:t xml:space="preserve">  </w:t>
      </w:r>
      <w:r>
        <w:rPr>
          <w:rStyle w:val="23"/>
          <w:rFonts w:hint="eastAsia"/>
        </w:rPr>
        <w:t>基金备案</w:t>
      </w:r>
      <w:r>
        <w:tab/>
      </w:r>
      <w:r>
        <w:fldChar w:fldCharType="begin"/>
      </w:r>
      <w:r>
        <w:instrText xml:space="preserve"> PAGEREF _Toc19173700 \h </w:instrText>
      </w:r>
      <w:r>
        <w:fldChar w:fldCharType="separate"/>
      </w:r>
      <w:r>
        <w:t>14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"_Toc19173701" </w:instrText>
      </w:r>
      <w:r>
        <w:fldChar w:fldCharType="separate"/>
      </w:r>
      <w:r>
        <w:rPr>
          <w:rStyle w:val="23"/>
          <w:rFonts w:hint="eastAsia"/>
        </w:rPr>
        <w:t>第六部分</w:t>
      </w:r>
      <w:r>
        <w:rPr>
          <w:rStyle w:val="23"/>
        </w:rPr>
        <w:t xml:space="preserve">  </w:t>
      </w:r>
      <w:r>
        <w:rPr>
          <w:rStyle w:val="23"/>
          <w:rFonts w:hint="eastAsia"/>
        </w:rPr>
        <w:t>基金份额的申购与赎回</w:t>
      </w:r>
      <w:r>
        <w:tab/>
      </w:r>
      <w:r>
        <w:fldChar w:fldCharType="begin"/>
      </w:r>
      <w:r>
        <w:instrText xml:space="preserve"> PAGEREF _Toc19173701 \h </w:instrText>
      </w:r>
      <w:r>
        <w:fldChar w:fldCharType="separate"/>
      </w:r>
      <w:r>
        <w:t>16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"_Toc19173702" </w:instrText>
      </w:r>
      <w:r>
        <w:fldChar w:fldCharType="separate"/>
      </w:r>
      <w:r>
        <w:rPr>
          <w:rStyle w:val="23"/>
          <w:rFonts w:hint="eastAsia"/>
        </w:rPr>
        <w:t>第七部分</w:t>
      </w:r>
      <w:r>
        <w:rPr>
          <w:rStyle w:val="23"/>
        </w:rPr>
        <w:t xml:space="preserve">  </w:t>
      </w:r>
      <w:r>
        <w:rPr>
          <w:rStyle w:val="23"/>
          <w:rFonts w:hint="eastAsia"/>
        </w:rPr>
        <w:t>基金合同当事人及权利义务</w:t>
      </w:r>
      <w:r>
        <w:tab/>
      </w:r>
      <w:r>
        <w:fldChar w:fldCharType="begin"/>
      </w:r>
      <w:r>
        <w:instrText xml:space="preserve"> PAGEREF _Toc19173702 \h </w:instrText>
      </w:r>
      <w:r>
        <w:fldChar w:fldCharType="separate"/>
      </w:r>
      <w:r>
        <w:t>28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"_Toc19173703" </w:instrText>
      </w:r>
      <w:r>
        <w:fldChar w:fldCharType="separate"/>
      </w:r>
      <w:r>
        <w:rPr>
          <w:rStyle w:val="23"/>
          <w:rFonts w:hint="eastAsia"/>
        </w:rPr>
        <w:t>第八部分</w:t>
      </w:r>
      <w:r>
        <w:rPr>
          <w:rStyle w:val="23"/>
        </w:rPr>
        <w:t xml:space="preserve">  </w:t>
      </w:r>
      <w:r>
        <w:rPr>
          <w:rStyle w:val="23"/>
          <w:rFonts w:hint="eastAsia"/>
        </w:rPr>
        <w:t>基金份额持有人大会</w:t>
      </w:r>
      <w:r>
        <w:tab/>
      </w:r>
      <w:r>
        <w:fldChar w:fldCharType="begin"/>
      </w:r>
      <w:r>
        <w:instrText xml:space="preserve"> PAGEREF _Toc19173703 \h </w:instrText>
      </w:r>
      <w:r>
        <w:fldChar w:fldCharType="separate"/>
      </w:r>
      <w:r>
        <w:t>35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"_Toc19173704" </w:instrText>
      </w:r>
      <w:r>
        <w:fldChar w:fldCharType="separate"/>
      </w:r>
      <w:r>
        <w:rPr>
          <w:rStyle w:val="23"/>
          <w:rFonts w:hint="eastAsia"/>
        </w:rPr>
        <w:t>第九部分</w:t>
      </w:r>
      <w:r>
        <w:rPr>
          <w:rStyle w:val="23"/>
        </w:rPr>
        <w:t xml:space="preserve">  </w:t>
      </w:r>
      <w:r>
        <w:rPr>
          <w:rStyle w:val="23"/>
          <w:rFonts w:hint="eastAsia"/>
        </w:rPr>
        <w:t>基金管理人、基金托管人的更换条件和程序</w:t>
      </w:r>
      <w:r>
        <w:tab/>
      </w:r>
      <w:r>
        <w:fldChar w:fldCharType="begin"/>
      </w:r>
      <w:r>
        <w:instrText xml:space="preserve"> PAGEREF _Toc19173704 \h </w:instrText>
      </w:r>
      <w:r>
        <w:fldChar w:fldCharType="separate"/>
      </w:r>
      <w:r>
        <w:t>43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"_Toc19173705" </w:instrText>
      </w:r>
      <w:r>
        <w:fldChar w:fldCharType="separate"/>
      </w:r>
      <w:r>
        <w:rPr>
          <w:rStyle w:val="23"/>
          <w:rFonts w:hint="eastAsia"/>
        </w:rPr>
        <w:t>第十部分</w:t>
      </w:r>
      <w:r>
        <w:rPr>
          <w:rStyle w:val="23"/>
        </w:rPr>
        <w:t xml:space="preserve">  </w:t>
      </w:r>
      <w:r>
        <w:rPr>
          <w:rStyle w:val="23"/>
          <w:rFonts w:hint="eastAsia"/>
        </w:rPr>
        <w:t>基金的托管</w:t>
      </w:r>
      <w:r>
        <w:tab/>
      </w:r>
      <w:r>
        <w:fldChar w:fldCharType="begin"/>
      </w:r>
      <w:r>
        <w:instrText xml:space="preserve"> PAGEREF _Toc19173705 \h </w:instrText>
      </w:r>
      <w:r>
        <w:fldChar w:fldCharType="separate"/>
      </w:r>
      <w:r>
        <w:t>46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"_Toc19173706" </w:instrText>
      </w:r>
      <w:r>
        <w:fldChar w:fldCharType="separate"/>
      </w:r>
      <w:r>
        <w:rPr>
          <w:rStyle w:val="23"/>
          <w:rFonts w:hint="eastAsia"/>
        </w:rPr>
        <w:t>第十一部分</w:t>
      </w:r>
      <w:r>
        <w:rPr>
          <w:rStyle w:val="23"/>
        </w:rPr>
        <w:t xml:space="preserve">  </w:t>
      </w:r>
      <w:r>
        <w:rPr>
          <w:rStyle w:val="23"/>
          <w:rFonts w:hint="eastAsia"/>
        </w:rPr>
        <w:t>基金份额的登记</w:t>
      </w:r>
      <w:r>
        <w:tab/>
      </w:r>
      <w:r>
        <w:fldChar w:fldCharType="begin"/>
      </w:r>
      <w:r>
        <w:instrText xml:space="preserve"> PAGEREF _Toc19173706 \h </w:instrText>
      </w:r>
      <w:r>
        <w:fldChar w:fldCharType="separate"/>
      </w:r>
      <w:r>
        <w:t>47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"_Toc19173707" </w:instrText>
      </w:r>
      <w:r>
        <w:fldChar w:fldCharType="separate"/>
      </w:r>
      <w:r>
        <w:rPr>
          <w:rStyle w:val="23"/>
          <w:rFonts w:hint="eastAsia"/>
        </w:rPr>
        <w:t>第十二部分</w:t>
      </w:r>
      <w:r>
        <w:rPr>
          <w:rStyle w:val="23"/>
        </w:rPr>
        <w:t xml:space="preserve">  </w:t>
      </w:r>
      <w:r>
        <w:rPr>
          <w:rStyle w:val="23"/>
          <w:rFonts w:hint="eastAsia"/>
        </w:rPr>
        <w:t>基金的投资</w:t>
      </w:r>
      <w:r>
        <w:tab/>
      </w:r>
      <w:r>
        <w:fldChar w:fldCharType="begin"/>
      </w:r>
      <w:r>
        <w:instrText xml:space="preserve"> PAGEREF _Toc19173707 \h </w:instrText>
      </w:r>
      <w:r>
        <w:fldChar w:fldCharType="separate"/>
      </w:r>
      <w:r>
        <w:t>49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"_Toc19173708" </w:instrText>
      </w:r>
      <w:r>
        <w:fldChar w:fldCharType="separate"/>
      </w:r>
      <w:r>
        <w:rPr>
          <w:rStyle w:val="23"/>
          <w:rFonts w:hint="eastAsia"/>
        </w:rPr>
        <w:t>第十三部分</w:t>
      </w:r>
      <w:r>
        <w:rPr>
          <w:rStyle w:val="23"/>
        </w:rPr>
        <w:t xml:space="preserve">  </w:t>
      </w:r>
      <w:r>
        <w:rPr>
          <w:rStyle w:val="23"/>
          <w:rFonts w:hint="eastAsia"/>
        </w:rPr>
        <w:t>基金的财产</w:t>
      </w:r>
      <w:r>
        <w:tab/>
      </w:r>
      <w:r>
        <w:fldChar w:fldCharType="begin"/>
      </w:r>
      <w:r>
        <w:instrText xml:space="preserve"> PAGEREF _Toc19173708 \h </w:instrText>
      </w:r>
      <w:r>
        <w:fldChar w:fldCharType="separate"/>
      </w:r>
      <w:r>
        <w:t>59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"_Toc19173709" </w:instrText>
      </w:r>
      <w:r>
        <w:fldChar w:fldCharType="separate"/>
      </w:r>
      <w:r>
        <w:rPr>
          <w:rStyle w:val="23"/>
          <w:rFonts w:hint="eastAsia"/>
        </w:rPr>
        <w:t>第十四部分</w:t>
      </w:r>
      <w:r>
        <w:rPr>
          <w:rStyle w:val="23"/>
        </w:rPr>
        <w:t xml:space="preserve">  </w:t>
      </w:r>
      <w:r>
        <w:rPr>
          <w:rStyle w:val="23"/>
          <w:rFonts w:hint="eastAsia"/>
        </w:rPr>
        <w:t>基金资产估值</w:t>
      </w:r>
      <w:r>
        <w:tab/>
      </w:r>
      <w:r>
        <w:fldChar w:fldCharType="begin"/>
      </w:r>
      <w:r>
        <w:instrText xml:space="preserve"> PAGEREF _Toc19173709 \h </w:instrText>
      </w:r>
      <w:r>
        <w:fldChar w:fldCharType="separate"/>
      </w:r>
      <w:r>
        <w:t>60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"_Toc19173710" </w:instrText>
      </w:r>
      <w:r>
        <w:fldChar w:fldCharType="separate"/>
      </w:r>
      <w:r>
        <w:rPr>
          <w:rStyle w:val="23"/>
          <w:rFonts w:hint="eastAsia"/>
        </w:rPr>
        <w:t>第十五部分</w:t>
      </w:r>
      <w:r>
        <w:rPr>
          <w:rStyle w:val="23"/>
        </w:rPr>
        <w:t xml:space="preserve">  </w:t>
      </w:r>
      <w:r>
        <w:rPr>
          <w:rStyle w:val="23"/>
          <w:rFonts w:hint="eastAsia"/>
        </w:rPr>
        <w:t>基金费用与税收</w:t>
      </w:r>
      <w:r>
        <w:tab/>
      </w:r>
      <w:r>
        <w:fldChar w:fldCharType="begin"/>
      </w:r>
      <w:r>
        <w:instrText xml:space="preserve"> PAGEREF _Toc19173710 \h </w:instrText>
      </w:r>
      <w:r>
        <w:fldChar w:fldCharType="separate"/>
      </w:r>
      <w:r>
        <w:t>67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"_Toc19173711" </w:instrText>
      </w:r>
      <w:r>
        <w:fldChar w:fldCharType="separate"/>
      </w:r>
      <w:r>
        <w:rPr>
          <w:rStyle w:val="23"/>
          <w:rFonts w:hint="eastAsia"/>
        </w:rPr>
        <w:t>第十六部分</w:t>
      </w:r>
      <w:r>
        <w:rPr>
          <w:rStyle w:val="23"/>
        </w:rPr>
        <w:t xml:space="preserve">  </w:t>
      </w:r>
      <w:r>
        <w:rPr>
          <w:rStyle w:val="23"/>
          <w:rFonts w:hint="eastAsia"/>
        </w:rPr>
        <w:t>基金的收益与分配</w:t>
      </w:r>
      <w:r>
        <w:tab/>
      </w:r>
      <w:r>
        <w:fldChar w:fldCharType="begin"/>
      </w:r>
      <w:r>
        <w:instrText xml:space="preserve"> PAGEREF _Toc19173711 \h </w:instrText>
      </w:r>
      <w:r>
        <w:fldChar w:fldCharType="separate"/>
      </w:r>
      <w:r>
        <w:t>70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"_Toc19173712" </w:instrText>
      </w:r>
      <w:r>
        <w:fldChar w:fldCharType="separate"/>
      </w:r>
      <w:r>
        <w:rPr>
          <w:rStyle w:val="23"/>
          <w:rFonts w:hint="eastAsia"/>
        </w:rPr>
        <w:t>第十七部分</w:t>
      </w:r>
      <w:r>
        <w:rPr>
          <w:rStyle w:val="23"/>
        </w:rPr>
        <w:t xml:space="preserve">  </w:t>
      </w:r>
      <w:r>
        <w:rPr>
          <w:rStyle w:val="23"/>
          <w:rFonts w:hint="eastAsia"/>
        </w:rPr>
        <w:t>基金的会计与审计</w:t>
      </w:r>
      <w:r>
        <w:tab/>
      </w:r>
      <w:r>
        <w:fldChar w:fldCharType="begin"/>
      </w:r>
      <w:r>
        <w:instrText xml:space="preserve"> PAGEREF _Toc19173712 \h </w:instrText>
      </w:r>
      <w:r>
        <w:fldChar w:fldCharType="separate"/>
      </w:r>
      <w:r>
        <w:t>72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"_Toc19173713" </w:instrText>
      </w:r>
      <w:r>
        <w:fldChar w:fldCharType="separate"/>
      </w:r>
      <w:r>
        <w:rPr>
          <w:rStyle w:val="23"/>
          <w:rFonts w:hint="eastAsia"/>
        </w:rPr>
        <w:t>第十八部分</w:t>
      </w:r>
      <w:r>
        <w:rPr>
          <w:rStyle w:val="23"/>
        </w:rPr>
        <w:t xml:space="preserve">  </w:t>
      </w:r>
      <w:r>
        <w:rPr>
          <w:rStyle w:val="23"/>
          <w:rFonts w:hint="eastAsia"/>
        </w:rPr>
        <w:t>基金的信息披露</w:t>
      </w:r>
      <w:r>
        <w:tab/>
      </w:r>
      <w:r>
        <w:fldChar w:fldCharType="begin"/>
      </w:r>
      <w:r>
        <w:instrText xml:space="preserve"> PAGEREF _Toc19173713 \h </w:instrText>
      </w:r>
      <w:r>
        <w:fldChar w:fldCharType="separate"/>
      </w:r>
      <w:r>
        <w:t>73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"_Toc19173714" </w:instrText>
      </w:r>
      <w:r>
        <w:fldChar w:fldCharType="separate"/>
      </w:r>
      <w:r>
        <w:rPr>
          <w:rStyle w:val="23"/>
          <w:rFonts w:hint="eastAsia"/>
        </w:rPr>
        <w:t>第十九部分</w:t>
      </w:r>
      <w:r>
        <w:rPr>
          <w:rStyle w:val="23"/>
        </w:rPr>
        <w:t xml:space="preserve">  </w:t>
      </w:r>
      <w:r>
        <w:rPr>
          <w:rStyle w:val="23"/>
          <w:rFonts w:hint="eastAsia"/>
        </w:rPr>
        <w:t>基金合同的变更、终止与基金财产的清算</w:t>
      </w:r>
      <w:r>
        <w:tab/>
      </w:r>
      <w:r>
        <w:fldChar w:fldCharType="begin"/>
      </w:r>
      <w:r>
        <w:instrText xml:space="preserve"> PAGEREF _Toc19173714 \h </w:instrText>
      </w:r>
      <w:r>
        <w:fldChar w:fldCharType="separate"/>
      </w:r>
      <w:r>
        <w:t>81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"_Toc19173715" </w:instrText>
      </w:r>
      <w:r>
        <w:fldChar w:fldCharType="separate"/>
      </w:r>
      <w:r>
        <w:rPr>
          <w:rStyle w:val="23"/>
          <w:rFonts w:hint="eastAsia"/>
        </w:rPr>
        <w:t>第二十部分</w:t>
      </w:r>
      <w:r>
        <w:rPr>
          <w:rStyle w:val="23"/>
        </w:rPr>
        <w:t xml:space="preserve">  </w:t>
      </w:r>
      <w:r>
        <w:rPr>
          <w:rStyle w:val="23"/>
          <w:rFonts w:hint="eastAsia"/>
        </w:rPr>
        <w:t>违约责任</w:t>
      </w:r>
      <w:r>
        <w:tab/>
      </w:r>
      <w:r>
        <w:fldChar w:fldCharType="begin"/>
      </w:r>
      <w:r>
        <w:instrText xml:space="preserve"> PAGEREF _Toc19173715 \h </w:instrText>
      </w:r>
      <w:r>
        <w:fldChar w:fldCharType="separate"/>
      </w:r>
      <w:r>
        <w:t>83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"_Toc19173716" </w:instrText>
      </w:r>
      <w:r>
        <w:fldChar w:fldCharType="separate"/>
      </w:r>
      <w:r>
        <w:rPr>
          <w:rStyle w:val="23"/>
          <w:rFonts w:hint="eastAsia"/>
        </w:rPr>
        <w:t>第二十一部分</w:t>
      </w:r>
      <w:r>
        <w:rPr>
          <w:rStyle w:val="23"/>
        </w:rPr>
        <w:t xml:space="preserve">  </w:t>
      </w:r>
      <w:r>
        <w:rPr>
          <w:rStyle w:val="23"/>
          <w:rFonts w:hint="eastAsia"/>
        </w:rPr>
        <w:t>争议的处理和适用的法律</w:t>
      </w:r>
      <w:r>
        <w:tab/>
      </w:r>
      <w:r>
        <w:fldChar w:fldCharType="begin"/>
      </w:r>
      <w:r>
        <w:instrText xml:space="preserve"> PAGEREF _Toc19173716 \h </w:instrText>
      </w:r>
      <w:r>
        <w:fldChar w:fldCharType="separate"/>
      </w:r>
      <w:r>
        <w:t>84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"_Toc19173717" </w:instrText>
      </w:r>
      <w:r>
        <w:fldChar w:fldCharType="separate"/>
      </w:r>
      <w:r>
        <w:rPr>
          <w:rStyle w:val="23"/>
          <w:rFonts w:hint="eastAsia"/>
        </w:rPr>
        <w:t>第二十二部分</w:t>
      </w:r>
      <w:r>
        <w:rPr>
          <w:rStyle w:val="23"/>
        </w:rPr>
        <w:t xml:space="preserve">  </w:t>
      </w:r>
      <w:r>
        <w:rPr>
          <w:rStyle w:val="23"/>
          <w:rFonts w:hint="eastAsia"/>
        </w:rPr>
        <w:t>基金合同的效力</w:t>
      </w:r>
      <w:r>
        <w:tab/>
      </w:r>
      <w:r>
        <w:fldChar w:fldCharType="begin"/>
      </w:r>
      <w:r>
        <w:instrText xml:space="preserve"> PAGEREF _Toc19173717 \h </w:instrText>
      </w:r>
      <w:r>
        <w:fldChar w:fldCharType="separate"/>
      </w:r>
      <w:r>
        <w:t>85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"_Toc19173718" </w:instrText>
      </w:r>
      <w:r>
        <w:fldChar w:fldCharType="separate"/>
      </w:r>
      <w:r>
        <w:rPr>
          <w:rStyle w:val="23"/>
          <w:rFonts w:hint="eastAsia"/>
        </w:rPr>
        <w:t>第二十三部分</w:t>
      </w:r>
      <w:r>
        <w:rPr>
          <w:rStyle w:val="23"/>
        </w:rPr>
        <w:t xml:space="preserve">  </w:t>
      </w:r>
      <w:r>
        <w:rPr>
          <w:rStyle w:val="23"/>
          <w:rFonts w:hint="eastAsia"/>
        </w:rPr>
        <w:t>其他事项</w:t>
      </w:r>
      <w:r>
        <w:tab/>
      </w:r>
      <w:r>
        <w:fldChar w:fldCharType="begin"/>
      </w:r>
      <w:r>
        <w:instrText xml:space="preserve"> PAGEREF _Toc19173718 \h </w:instrText>
      </w:r>
      <w:r>
        <w:fldChar w:fldCharType="separate"/>
      </w:r>
      <w:r>
        <w:t>86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"_Toc19173719" </w:instrText>
      </w:r>
      <w:r>
        <w:fldChar w:fldCharType="separate"/>
      </w:r>
      <w:r>
        <w:rPr>
          <w:rStyle w:val="23"/>
          <w:rFonts w:hint="eastAsia"/>
        </w:rPr>
        <w:t>第二十四部分</w:t>
      </w:r>
      <w:r>
        <w:rPr>
          <w:rStyle w:val="23"/>
        </w:rPr>
        <w:t xml:space="preserve">  </w:t>
      </w:r>
      <w:r>
        <w:rPr>
          <w:rStyle w:val="23"/>
          <w:rFonts w:hint="eastAsia"/>
        </w:rPr>
        <w:t>基金合同内容摘要</w:t>
      </w:r>
      <w:r>
        <w:tab/>
      </w:r>
      <w:r>
        <w:fldChar w:fldCharType="begin"/>
      </w:r>
      <w:r>
        <w:instrText xml:space="preserve"> PAGEREF _Toc19173719 \h </w:instrText>
      </w:r>
      <w:r>
        <w:fldChar w:fldCharType="separate"/>
      </w:r>
      <w:r>
        <w:t>87</w:t>
      </w:r>
      <w:r>
        <w:fldChar w:fldCharType="end"/>
      </w:r>
      <w:r>
        <w:fldChar w:fldCharType="end"/>
      </w:r>
    </w:p>
    <w:p>
      <w:pPr>
        <w:pStyle w:val="2"/>
        <w:spacing w:before="0" w:after="0"/>
        <w:jc w:val="left"/>
        <w:rPr>
          <w:rFonts w:ascii="Times New Roman"/>
          <w:b w:val="0"/>
          <w:bCs/>
          <w:color w:val="auto"/>
          <w:kern w:val="2"/>
        </w:rPr>
        <w:sectPr>
          <w:headerReference r:id="rId6"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19" w:name="_Toc23386"/>
      <w:bookmarkStart w:id="20" w:name="_Toc141703880"/>
      <w:bookmarkStart w:id="21" w:name="_Toc30935"/>
      <w:bookmarkStart w:id="22" w:name="_Toc32639"/>
      <w:bookmarkStart w:id="23" w:name="_Toc6306"/>
      <w:bookmarkStart w:id="24" w:name="_Toc29629"/>
      <w:bookmarkStart w:id="25" w:name="_Toc15517"/>
      <w:bookmarkStart w:id="26" w:name="_Toc8727"/>
      <w:bookmarkStart w:id="27" w:name="_Toc4867"/>
      <w:bookmarkStart w:id="28" w:name="_Toc139991730"/>
      <w:bookmarkStart w:id="29" w:name="_Toc4966"/>
      <w:bookmarkStart w:id="30" w:name="_Toc26897"/>
      <w:bookmarkStart w:id="31" w:name="_Toc123112229"/>
      <w:bookmarkStart w:id="32" w:name="_Toc123701389"/>
      <w:bookmarkStart w:id="33" w:name="_Toc123112268"/>
      <w:bookmarkStart w:id="34" w:name="_Toc233456271"/>
    </w:p>
    <w:p>
      <w:pPr>
        <w:pStyle w:val="2"/>
        <w:spacing w:before="0" w:after="0"/>
        <w:jc w:val="center"/>
        <w:rPr>
          <w:rFonts w:ascii="Times New Roman"/>
          <w:color w:val="auto"/>
          <w:sz w:val="30"/>
        </w:rPr>
      </w:pPr>
      <w:bookmarkStart w:id="35" w:name="_Toc19173696"/>
      <w:bookmarkStart w:id="36" w:name="_Toc11660"/>
      <w:r>
        <w:rPr>
          <w:rFonts w:ascii="Times New Roman"/>
          <w:color w:val="auto"/>
          <w:sz w:val="30"/>
        </w:rPr>
        <w:t>第一部分  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pPr>
        <w:rPr>
          <w:bCs/>
        </w:rPr>
      </w:pPr>
      <w:bookmarkStart w:id="37" w:name="_Toc139991731"/>
    </w:p>
    <w:bookmarkEnd w:id="31"/>
    <w:bookmarkEnd w:id="32"/>
    <w:bookmarkEnd w:id="33"/>
    <w:bookmarkEnd w:id="37"/>
    <w:p>
      <w:pPr>
        <w:spacing w:line="360" w:lineRule="auto"/>
        <w:ind w:firstLine="480" w:firstLineChars="200"/>
        <w:rPr>
          <w:bCs/>
          <w:sz w:val="24"/>
        </w:rPr>
      </w:pPr>
      <w:bookmarkStart w:id="38"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订立本基金合同的依据是《中华人民共和国合同法》(以下简称“《合同法》”)、《中华人民共和国证券投资基金法》(以下简称“《基金法》”)、《</w:t>
      </w:r>
      <w:r>
        <w:rPr>
          <w:rFonts w:hint="eastAsia"/>
          <w:bCs/>
          <w:sz w:val="24"/>
        </w:rPr>
        <w:t>公开募集</w:t>
      </w:r>
      <w:r>
        <w:rPr>
          <w:bCs/>
          <w:sz w:val="24"/>
        </w:rPr>
        <w:t>证券投资基金运作管理办法》(以下简称“《运作办法》”)、《证券投资基金销售管理办法》(以下简称“《销售办法》”)、《</w:t>
      </w:r>
      <w:r>
        <w:rPr>
          <w:rFonts w:hint="eastAsia"/>
          <w:bCs/>
          <w:sz w:val="24"/>
        </w:rPr>
        <w:t>公开募集</w:t>
      </w:r>
      <w:r>
        <w:rPr>
          <w:bCs/>
          <w:sz w:val="24"/>
        </w:rPr>
        <w:t>证券投资基金信息披露管理办法》(以下简称“《信息披露办法》”)</w:t>
      </w:r>
      <w:r>
        <w:rPr>
          <w:rFonts w:hint="eastAsia"/>
          <w:bCs/>
          <w:sz w:val="24"/>
        </w:rPr>
        <w:t>、《公开募集开放式证券投资基金流动性风险管理规定》（以下简称“《流动性风险管理规定》”）</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三、平安瑞兴一年定期开放混合型证券投资基金</w:t>
      </w:r>
      <w:r>
        <w:rPr>
          <w:bCs/>
          <w:sz w:val="24"/>
        </w:rPr>
        <w:t>由基金管理人依照《基金法》、基金合同及其他有关规定募集，并经中国证券监督管理委员会(以下简称“中国证监会”)</w:t>
      </w:r>
      <w:r>
        <w:rPr>
          <w:rFonts w:hint="eastAsia"/>
          <w:bCs/>
          <w:sz w:val="24"/>
        </w:rPr>
        <w:t>注册</w:t>
      </w:r>
      <w:r>
        <w:rPr>
          <w:bCs/>
          <w:sz w:val="24"/>
        </w:rPr>
        <w:t>。</w:t>
      </w:r>
    </w:p>
    <w:p>
      <w:pPr>
        <w:spacing w:line="360" w:lineRule="auto"/>
        <w:ind w:firstLine="480" w:firstLineChars="20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pPr>
        <w:spacing w:line="360" w:lineRule="auto"/>
        <w:ind w:firstLine="480" w:firstLineChars="200"/>
        <w:rPr>
          <w:bCs/>
          <w:sz w:val="24"/>
        </w:rPr>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bCs/>
        </w:rPr>
      </w:pPr>
      <w:r>
        <w:rPr>
          <w:bCs/>
          <w:sz w:val="24"/>
        </w:rPr>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pPr>
        <w:numPr>
          <w:ilvl w:val="0"/>
          <w:numId w:val="1"/>
        </w:numPr>
        <w:spacing w:line="360" w:lineRule="auto"/>
        <w:ind w:firstLine="480" w:firstLineChars="200"/>
        <w:rPr>
          <w:bCs/>
          <w:sz w:val="24"/>
        </w:rPr>
      </w:pPr>
      <w:r>
        <w:rPr>
          <w:bCs/>
          <w:sz w:val="24"/>
        </w:rPr>
        <w:t>基金管理人、基金托管人在本基金合同之外披露涉及本基金的信息，其内容涉及界定基金合同当事人之间权利义务关系的，如与基金合同有冲突，以基金合同为准。</w:t>
      </w:r>
    </w:p>
    <w:p>
      <w:pPr>
        <w:numPr>
          <w:ilvl w:val="0"/>
          <w:numId w:val="1"/>
        </w:numPr>
        <w:spacing w:line="360" w:lineRule="auto"/>
        <w:ind w:firstLine="480" w:firstLineChars="20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pPr>
        <w:numPr>
          <w:ilvl w:val="0"/>
          <w:numId w:val="1"/>
        </w:numPr>
        <w:spacing w:line="360" w:lineRule="auto"/>
        <w:ind w:firstLine="480"/>
        <w:rPr>
          <w:bCs/>
          <w:sz w:val="24"/>
        </w:rPr>
      </w:pPr>
      <w:r>
        <w:rPr>
          <w:rFonts w:hint="eastAsia"/>
          <w:bCs/>
          <w:sz w:val="24"/>
        </w:rPr>
        <w:t>本基金合同约定的基金产品资料概要编制、披露与更新要求，自《信息披露办法》实施之日起一年后开始执行。</w:t>
      </w:r>
    </w:p>
    <w:p>
      <w:pPr>
        <w:spacing w:line="360" w:lineRule="auto"/>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39" w:name="_Toc15067"/>
      <w:bookmarkStart w:id="40" w:name="_Toc31551"/>
      <w:bookmarkStart w:id="41" w:name="_Toc21301"/>
      <w:bookmarkStart w:id="42" w:name="_Toc6617"/>
      <w:bookmarkStart w:id="43" w:name="_Toc819"/>
      <w:bookmarkStart w:id="44" w:name="_Toc24860"/>
      <w:bookmarkStart w:id="45" w:name="_Toc22864"/>
      <w:bookmarkStart w:id="46" w:name="_Toc13020"/>
      <w:bookmarkStart w:id="47" w:name="_Toc2465"/>
      <w:bookmarkStart w:id="48" w:name="_Toc19173697"/>
      <w:bookmarkStart w:id="49" w:name="_Toc19592"/>
      <w:bookmarkStart w:id="50" w:name="_Toc3224"/>
      <w:r>
        <w:rPr>
          <w:rFonts w:ascii="Times New Roman"/>
          <w:color w:val="auto"/>
          <w:sz w:val="30"/>
        </w:rPr>
        <w:t>第二部分 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在本基金合同中，除非文意另有所指，下列词语或简称具有如下含义：</w:t>
      </w:r>
    </w:p>
    <w:p>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平安瑞兴一年定期开放混合型证券投资基金</w:t>
      </w:r>
    </w:p>
    <w:p>
      <w:pPr>
        <w:spacing w:line="360" w:lineRule="auto"/>
        <w:ind w:firstLine="480" w:firstLineChars="200"/>
        <w:rPr>
          <w:bCs/>
          <w:sz w:val="24"/>
        </w:rPr>
      </w:pPr>
      <w:r>
        <w:rPr>
          <w:bCs/>
          <w:sz w:val="24"/>
        </w:rPr>
        <w:t>2</w:t>
      </w:r>
      <w:r>
        <w:rPr>
          <w:rFonts w:hint="eastAsia"/>
          <w:bCs/>
          <w:sz w:val="24"/>
        </w:rPr>
        <w:t>、</w:t>
      </w:r>
      <w:r>
        <w:rPr>
          <w:bCs/>
          <w:sz w:val="24"/>
        </w:rPr>
        <w:t>基金管理人：指</w:t>
      </w:r>
      <w:r>
        <w:rPr>
          <w:rFonts w:hint="eastAsia"/>
          <w:bCs/>
          <w:sz w:val="24"/>
        </w:rPr>
        <w:t>平安基金管理有限公司</w:t>
      </w:r>
    </w:p>
    <w:p>
      <w:pPr>
        <w:spacing w:line="360" w:lineRule="auto"/>
        <w:ind w:firstLine="480" w:firstLineChars="200"/>
        <w:rPr>
          <w:bCs/>
          <w:sz w:val="24"/>
        </w:rPr>
      </w:pPr>
      <w:r>
        <w:rPr>
          <w:bCs/>
          <w:sz w:val="24"/>
        </w:rPr>
        <w:t>3</w:t>
      </w:r>
      <w:r>
        <w:rPr>
          <w:rFonts w:hint="eastAsia"/>
          <w:bCs/>
          <w:sz w:val="24"/>
        </w:rPr>
        <w:t>、</w:t>
      </w:r>
      <w:r>
        <w:rPr>
          <w:bCs/>
          <w:sz w:val="24"/>
        </w:rPr>
        <w:t>基金托管人：指</w:t>
      </w:r>
      <w:r>
        <w:rPr>
          <w:rFonts w:hint="eastAsia"/>
          <w:bCs/>
          <w:sz w:val="24"/>
        </w:rPr>
        <w:t>中国邮政储蓄银行股份有限公司</w:t>
      </w:r>
    </w:p>
    <w:p>
      <w:pPr>
        <w:spacing w:line="360" w:lineRule="auto"/>
        <w:ind w:firstLine="480" w:firstLineChars="200"/>
        <w:rPr>
          <w:bCs/>
          <w:sz w:val="24"/>
        </w:rPr>
      </w:pPr>
      <w:r>
        <w:rPr>
          <w:bCs/>
          <w:sz w:val="24"/>
        </w:rPr>
        <w:t>4</w:t>
      </w:r>
      <w:r>
        <w:rPr>
          <w:rFonts w:hint="eastAsia"/>
          <w:bCs/>
          <w:sz w:val="24"/>
        </w:rPr>
        <w:t>、</w:t>
      </w:r>
      <w:r>
        <w:rPr>
          <w:bCs/>
          <w:sz w:val="24"/>
        </w:rPr>
        <w:t>基金合同或本基金合同：指《</w:t>
      </w:r>
      <w:r>
        <w:rPr>
          <w:rFonts w:hint="eastAsia"/>
          <w:bCs/>
          <w:sz w:val="24"/>
        </w:rPr>
        <w:t>平安瑞兴一年定期开放混合型证券投资基金</w:t>
      </w:r>
      <w:r>
        <w:rPr>
          <w:bCs/>
          <w:sz w:val="24"/>
        </w:rPr>
        <w:t>基金合同》及对本基金合同的任何有效修订和补充</w:t>
      </w:r>
    </w:p>
    <w:p>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平安瑞兴一年定期开放混合型证券投资基金</w:t>
      </w:r>
      <w:r>
        <w:rPr>
          <w:bCs/>
          <w:sz w:val="24"/>
        </w:rPr>
        <w:t>托管协议》及对该托管协议的任何有效修订和补充</w:t>
      </w:r>
    </w:p>
    <w:p>
      <w:pPr>
        <w:spacing w:line="360" w:lineRule="auto"/>
        <w:ind w:firstLine="480" w:firstLineChars="200"/>
        <w:rPr>
          <w:bCs/>
          <w:sz w:val="24"/>
        </w:rPr>
      </w:pPr>
      <w:r>
        <w:rPr>
          <w:bCs/>
          <w:sz w:val="24"/>
        </w:rPr>
        <w:t>6</w:t>
      </w:r>
      <w:r>
        <w:rPr>
          <w:rFonts w:hint="eastAsia"/>
          <w:bCs/>
          <w:sz w:val="24"/>
        </w:rPr>
        <w:t>、</w:t>
      </w:r>
      <w:r>
        <w:rPr>
          <w:bCs/>
          <w:sz w:val="24"/>
        </w:rPr>
        <w:t>招募说明书：指《</w:t>
      </w:r>
      <w:r>
        <w:rPr>
          <w:rFonts w:hint="eastAsia"/>
          <w:bCs/>
          <w:sz w:val="24"/>
        </w:rPr>
        <w:t>平安瑞兴一年定期开放混合型证券投资基金</w:t>
      </w:r>
      <w:r>
        <w:rPr>
          <w:bCs/>
          <w:sz w:val="24"/>
        </w:rPr>
        <w:t>招募说明书》及其更新</w:t>
      </w:r>
    </w:p>
    <w:p>
      <w:pPr>
        <w:spacing w:line="360" w:lineRule="auto"/>
        <w:ind w:firstLine="480" w:firstLineChars="200"/>
        <w:rPr>
          <w:bCs/>
          <w:sz w:val="24"/>
        </w:rPr>
      </w:pPr>
      <w:r>
        <w:rPr>
          <w:rFonts w:hint="eastAsia"/>
          <w:bCs/>
          <w:sz w:val="24"/>
        </w:rPr>
        <w:t>7、基金产品资料概要：指《平安瑞兴一年定期开放混合型证券投资基金基金产品资料概要》及其更新</w:t>
      </w:r>
    </w:p>
    <w:p>
      <w:pPr>
        <w:spacing w:line="360" w:lineRule="auto"/>
        <w:ind w:firstLine="480" w:firstLineChars="200"/>
        <w:rPr>
          <w:bCs/>
          <w:sz w:val="24"/>
        </w:rPr>
      </w:pPr>
      <w:r>
        <w:rPr>
          <w:rFonts w:hint="eastAsia"/>
          <w:bCs/>
          <w:sz w:val="24"/>
        </w:rPr>
        <w:t>8、基金份额发售公告：指《平安瑞兴一年定期开放混合型证券投资基金基金份额发售公告》</w:t>
      </w:r>
    </w:p>
    <w:p>
      <w:pPr>
        <w:spacing w:line="360" w:lineRule="auto"/>
        <w:ind w:firstLine="480" w:firstLineChars="20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bCs/>
          <w:sz w:val="24"/>
        </w:rPr>
      </w:pPr>
      <w:r>
        <w:rPr>
          <w:bCs/>
          <w:sz w:val="24"/>
        </w:rPr>
        <w:t>10</w:t>
      </w:r>
      <w:r>
        <w:rPr>
          <w:rFonts w:hint="eastAsia"/>
          <w:bCs/>
          <w:sz w:val="24"/>
        </w:rPr>
        <w:t>、</w:t>
      </w:r>
      <w:r>
        <w:rPr>
          <w:bCs/>
          <w:sz w:val="24"/>
        </w:rPr>
        <w:t>《基金法》：指2003年10月28日经第十届全国人民代表大会常务委员会第五次会议通过，经</w:t>
      </w:r>
      <w:r>
        <w:rPr>
          <w:rFonts w:hint="eastAsia"/>
          <w:bCs/>
          <w:sz w:val="24"/>
        </w:rPr>
        <w:t>2012年12月28日第十一届全国人民代表大会常务委员会第三十次会议修订，</w:t>
      </w:r>
      <w:r>
        <w:rPr>
          <w:bCs/>
          <w:sz w:val="24"/>
        </w:rPr>
        <w:t>自</w:t>
      </w:r>
      <w:r>
        <w:rPr>
          <w:rFonts w:hint="eastAsia"/>
          <w:bCs/>
          <w:sz w:val="24"/>
        </w:rPr>
        <w:t>2013</w:t>
      </w:r>
      <w:r>
        <w:rPr>
          <w:bCs/>
          <w:sz w:val="24"/>
        </w:rPr>
        <w:t>年6月1日起实施</w:t>
      </w:r>
      <w:r>
        <w:rPr>
          <w:rFonts w:hint="eastAsia"/>
          <w:bCs/>
          <w:sz w:val="24"/>
        </w:rPr>
        <w:t>，并经2015年4月24日第十二届全国人民代表大会常务委员会第十四次会议《全国人民代表大会常务委员会关于修改&lt;中华人民共和国港口法&gt;等七部法律的决定》修正</w:t>
      </w:r>
      <w:r>
        <w:rPr>
          <w:bCs/>
          <w:sz w:val="24"/>
        </w:rPr>
        <w:t>的《中华人民共和国证券投资基金法》及颁布机关对其不时做出的修订</w:t>
      </w:r>
    </w:p>
    <w:p>
      <w:pPr>
        <w:spacing w:line="360" w:lineRule="auto"/>
        <w:ind w:firstLine="480" w:firstLineChars="200"/>
        <w:rPr>
          <w:bCs/>
          <w:sz w:val="24"/>
        </w:rPr>
      </w:pPr>
      <w:r>
        <w:rPr>
          <w:rFonts w:hint="eastAsia"/>
          <w:bCs/>
          <w:sz w:val="24"/>
        </w:rPr>
        <w:t>1</w:t>
      </w:r>
      <w:r>
        <w:rPr>
          <w:bCs/>
          <w:sz w:val="24"/>
        </w:rPr>
        <w:t>1</w:t>
      </w:r>
      <w:r>
        <w:rPr>
          <w:rFonts w:hint="eastAsia"/>
          <w:bCs/>
          <w:sz w:val="24"/>
        </w:rPr>
        <w:t>、</w:t>
      </w:r>
      <w:r>
        <w:rPr>
          <w:bCs/>
          <w:sz w:val="24"/>
        </w:rPr>
        <w:t>《销售办法》：指中国证监会</w:t>
      </w:r>
      <w:r>
        <w:rPr>
          <w:rFonts w:hint="eastAsia"/>
          <w:bCs/>
          <w:sz w:val="24"/>
        </w:rPr>
        <w:t>2013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月1日实施的《证券投资基金销售管理办法》及颁布机关对其不时做出的修订</w:t>
      </w:r>
    </w:p>
    <w:p>
      <w:pPr>
        <w:spacing w:line="360" w:lineRule="auto"/>
        <w:ind w:firstLine="480" w:firstLineChars="200"/>
        <w:rPr>
          <w:bCs/>
          <w:sz w:val="24"/>
        </w:rPr>
      </w:pPr>
      <w:r>
        <w:rPr>
          <w:rFonts w:hint="eastAsia"/>
          <w:bCs/>
          <w:sz w:val="24"/>
        </w:rPr>
        <w:t>1</w:t>
      </w:r>
      <w:r>
        <w:rPr>
          <w:bCs/>
          <w:sz w:val="24"/>
        </w:rPr>
        <w:t>2</w:t>
      </w:r>
      <w:r>
        <w:rPr>
          <w:rFonts w:hint="eastAsia"/>
          <w:bCs/>
          <w:sz w:val="24"/>
        </w:rPr>
        <w:t>、《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pPr>
        <w:spacing w:line="360" w:lineRule="auto"/>
        <w:ind w:firstLine="480" w:firstLineChars="200"/>
        <w:rPr>
          <w:bCs/>
          <w:sz w:val="24"/>
        </w:rPr>
      </w:pPr>
      <w:r>
        <w:rPr>
          <w:bCs/>
          <w:sz w:val="24"/>
        </w:rPr>
        <w:t>13</w:t>
      </w:r>
      <w:r>
        <w:rPr>
          <w:rFonts w:hint="eastAsia"/>
          <w:bCs/>
          <w:sz w:val="24"/>
        </w:rPr>
        <w:t>、</w:t>
      </w:r>
      <w:r>
        <w:rPr>
          <w:bCs/>
          <w:sz w:val="24"/>
        </w:rPr>
        <w:t>《运作办法》：指中国证监会20</w:t>
      </w:r>
      <w:r>
        <w:rPr>
          <w:rFonts w:hint="eastAsia"/>
          <w:bCs/>
          <w:sz w:val="24"/>
        </w:rPr>
        <w:t>1</w:t>
      </w:r>
      <w:r>
        <w:rPr>
          <w:bCs/>
          <w:sz w:val="24"/>
        </w:rPr>
        <w:t>4年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pPr>
        <w:spacing w:line="360" w:lineRule="auto"/>
        <w:ind w:firstLine="480" w:firstLineChars="200"/>
        <w:rPr>
          <w:bCs/>
          <w:sz w:val="24"/>
        </w:rPr>
      </w:pPr>
      <w:r>
        <w:rPr>
          <w:bCs/>
          <w:sz w:val="24"/>
        </w:rPr>
        <w:t>14</w:t>
      </w:r>
      <w:r>
        <w:rPr>
          <w:rFonts w:hint="eastAsia"/>
          <w:bCs/>
          <w:sz w:val="24"/>
        </w:rPr>
        <w:t>、《流动性风险管理规定》：指中国证监会2017年8月31日颁布、同年10月1日实施的《公开募集开放式证券投资基金流动性风险管理规定》及颁布机关对其不时做出的修订</w:t>
      </w:r>
    </w:p>
    <w:p>
      <w:pPr>
        <w:spacing w:line="360" w:lineRule="auto"/>
        <w:ind w:firstLine="480" w:firstLineChars="200"/>
        <w:rPr>
          <w:bCs/>
          <w:sz w:val="24"/>
        </w:rPr>
      </w:pPr>
      <w:r>
        <w:rPr>
          <w:rFonts w:hint="eastAsia"/>
          <w:bCs/>
          <w:sz w:val="24"/>
        </w:rPr>
        <w:t>1</w:t>
      </w:r>
      <w:r>
        <w:rPr>
          <w:bCs/>
          <w:sz w:val="24"/>
        </w:rPr>
        <w:t>5</w:t>
      </w:r>
      <w:r>
        <w:rPr>
          <w:rFonts w:hint="eastAsia"/>
          <w:bCs/>
          <w:sz w:val="24"/>
        </w:rPr>
        <w:t>、</w:t>
      </w:r>
      <w:r>
        <w:rPr>
          <w:bCs/>
          <w:sz w:val="24"/>
        </w:rPr>
        <w:t>中国证监会：指中国证券监督管理委员会</w:t>
      </w:r>
    </w:p>
    <w:p>
      <w:pPr>
        <w:spacing w:line="360" w:lineRule="auto"/>
        <w:ind w:firstLine="480" w:firstLineChars="200"/>
        <w:rPr>
          <w:bCs/>
          <w:sz w:val="24"/>
        </w:rPr>
      </w:pPr>
      <w:r>
        <w:rPr>
          <w:bCs/>
          <w:sz w:val="24"/>
        </w:rPr>
        <w:t>16</w:t>
      </w:r>
      <w:r>
        <w:rPr>
          <w:rFonts w:hint="eastAsia"/>
          <w:bCs/>
          <w:sz w:val="24"/>
        </w:rPr>
        <w:t>、</w:t>
      </w:r>
      <w:r>
        <w:rPr>
          <w:bCs/>
          <w:sz w:val="24"/>
        </w:rPr>
        <w:t>银行业监督管理机构：指中国人民银行和/或中国银行</w:t>
      </w:r>
      <w:r>
        <w:rPr>
          <w:rFonts w:hint="eastAsia"/>
          <w:bCs/>
          <w:sz w:val="24"/>
        </w:rPr>
        <w:t>保险</w:t>
      </w:r>
      <w:r>
        <w:rPr>
          <w:bCs/>
          <w:sz w:val="24"/>
        </w:rPr>
        <w:t>监督管理委员会</w:t>
      </w:r>
    </w:p>
    <w:p>
      <w:pPr>
        <w:spacing w:line="360" w:lineRule="auto"/>
        <w:ind w:firstLine="480" w:firstLineChars="20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bCs/>
          <w:sz w:val="24"/>
        </w:rPr>
        <w:t>18</w:t>
      </w:r>
      <w:r>
        <w:rPr>
          <w:rFonts w:hint="eastAsia"/>
          <w:bCs/>
          <w:sz w:val="24"/>
        </w:rPr>
        <w:t>、</w:t>
      </w:r>
      <w:r>
        <w:rPr>
          <w:bCs/>
          <w:sz w:val="24"/>
        </w:rPr>
        <w:t>个人投资者：指依据有关法律法规规定可投资于证券投资基金的自然人</w:t>
      </w:r>
    </w:p>
    <w:p>
      <w:pPr>
        <w:spacing w:line="360" w:lineRule="auto"/>
        <w:ind w:firstLine="480" w:firstLineChars="20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bCs/>
          <w:sz w:val="24"/>
        </w:rPr>
        <w:t>20</w:t>
      </w:r>
      <w:r>
        <w:rPr>
          <w:rFonts w:hint="eastAsia"/>
          <w:bCs/>
          <w:sz w:val="24"/>
        </w:rPr>
        <w:t>、合格境外机构投资者：指符合《合格境外机构投资者境内证券投资管理办法》</w:t>
      </w:r>
      <w:r>
        <w:rPr>
          <w:bCs/>
          <w:sz w:val="24"/>
        </w:rPr>
        <w:t>（包括其不时修订</w:t>
      </w:r>
      <w:r>
        <w:rPr>
          <w:rFonts w:hint="eastAsia"/>
          <w:bCs/>
          <w:sz w:val="24"/>
        </w:rPr>
        <w:t>）及相关法律法规规定可以投资于在中国境内依法募集的证券投资基金的中国境外的机构投资者</w:t>
      </w:r>
    </w:p>
    <w:p>
      <w:pPr>
        <w:spacing w:line="360" w:lineRule="auto"/>
        <w:ind w:firstLine="480" w:firstLineChars="200"/>
        <w:rPr>
          <w:bCs/>
          <w:sz w:val="24"/>
        </w:rPr>
      </w:pPr>
      <w:r>
        <w:rPr>
          <w:rFonts w:hint="eastAsia"/>
          <w:bCs/>
          <w:sz w:val="24"/>
        </w:rPr>
        <w:t>2</w:t>
      </w:r>
      <w:r>
        <w:rPr>
          <w:bCs/>
          <w:sz w:val="24"/>
        </w:rPr>
        <w:t>1</w:t>
      </w:r>
      <w:r>
        <w:rPr>
          <w:rFonts w:hint="eastAsia"/>
          <w:bCs/>
          <w:sz w:val="24"/>
        </w:rPr>
        <w:t>、人民币合格境外机构投资者：指按照《人民币合格境外机构投资者境内证券投资试点办法》（包括其不时修订）及相关法律法规规定，经中国证监会批准，运用来自境外的人民币资金进行境内证券投资的境外法人</w:t>
      </w:r>
    </w:p>
    <w:p>
      <w:pPr>
        <w:spacing w:line="360" w:lineRule="auto"/>
        <w:ind w:firstLine="480" w:firstLineChars="200"/>
        <w:rPr>
          <w:bCs/>
          <w:sz w:val="24"/>
        </w:rPr>
      </w:pPr>
      <w:r>
        <w:rPr>
          <w:rFonts w:hint="eastAsia"/>
          <w:bCs/>
          <w:sz w:val="24"/>
        </w:rPr>
        <w:t>2</w:t>
      </w:r>
      <w:r>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szCs w:val="24"/>
        </w:rPr>
        <w:t>以</w:t>
      </w:r>
      <w:r>
        <w:rPr>
          <w:bCs/>
          <w:sz w:val="24"/>
        </w:rPr>
        <w:t>及法律法规或中国证监会允许购买证券投资基金的其他投资人的合称</w:t>
      </w:r>
    </w:p>
    <w:p>
      <w:pPr>
        <w:spacing w:line="360" w:lineRule="auto"/>
        <w:ind w:firstLine="480" w:firstLineChars="200"/>
        <w:rPr>
          <w:bCs/>
          <w:sz w:val="24"/>
        </w:rPr>
      </w:pPr>
      <w:r>
        <w:rPr>
          <w:rFonts w:hint="eastAsia"/>
          <w:bCs/>
          <w:sz w:val="24"/>
        </w:rPr>
        <w:t>2</w:t>
      </w:r>
      <w:r>
        <w:rPr>
          <w:bCs/>
          <w:sz w:val="24"/>
        </w:rPr>
        <w:t>3</w:t>
      </w:r>
      <w:r>
        <w:rPr>
          <w:rFonts w:hint="eastAsia"/>
          <w:bCs/>
          <w:sz w:val="24"/>
        </w:rPr>
        <w:t>、</w:t>
      </w:r>
      <w:r>
        <w:rPr>
          <w:bCs/>
          <w:sz w:val="24"/>
        </w:rPr>
        <w:t>基金份额持有人：指依基金合同和招募说明书合法取得基金份额的投资人</w:t>
      </w:r>
    </w:p>
    <w:p>
      <w:pPr>
        <w:spacing w:line="360" w:lineRule="auto"/>
        <w:ind w:firstLine="480" w:firstLineChars="200"/>
        <w:rPr>
          <w:bCs/>
          <w:sz w:val="24"/>
        </w:rPr>
      </w:pPr>
      <w:r>
        <w:rPr>
          <w:bCs/>
          <w:sz w:val="24"/>
        </w:rPr>
        <w:t>24</w:t>
      </w:r>
      <w:r>
        <w:rPr>
          <w:rFonts w:hint="eastAsia"/>
          <w:bCs/>
          <w:sz w:val="24"/>
        </w:rPr>
        <w:t>、</w:t>
      </w:r>
      <w:r>
        <w:rPr>
          <w:bCs/>
          <w:sz w:val="24"/>
        </w:rPr>
        <w:t>基金销售业务：指基金管理人或销售机构宣传推介基金，发售基金份额</w:t>
      </w:r>
      <w:r>
        <w:rPr>
          <w:rFonts w:hint="eastAsia"/>
          <w:bCs/>
          <w:sz w:val="24"/>
        </w:rPr>
        <w:t>，</w:t>
      </w:r>
      <w:r>
        <w:rPr>
          <w:bCs/>
          <w:sz w:val="24"/>
        </w:rPr>
        <w:t>办理基金份额的申购、赎回、转换、转托管及定期定额投资等业务</w:t>
      </w:r>
    </w:p>
    <w:p>
      <w:pPr>
        <w:spacing w:line="360" w:lineRule="auto"/>
        <w:ind w:firstLine="480" w:firstLineChars="200"/>
        <w:rPr>
          <w:bCs/>
          <w:sz w:val="24"/>
        </w:rPr>
      </w:pPr>
      <w:r>
        <w:rPr>
          <w:bCs/>
          <w:sz w:val="24"/>
        </w:rPr>
        <w:t>25</w:t>
      </w:r>
      <w:r>
        <w:rPr>
          <w:rFonts w:hint="eastAsia"/>
          <w:bCs/>
          <w:sz w:val="24"/>
        </w:rPr>
        <w:t>、</w:t>
      </w:r>
      <w:r>
        <w:rPr>
          <w:bCs/>
          <w:sz w:val="24"/>
        </w:rPr>
        <w:t>销售机构：指</w:t>
      </w:r>
      <w:r>
        <w:rPr>
          <w:rFonts w:hint="eastAsia"/>
          <w:bCs/>
          <w:sz w:val="24"/>
        </w:rPr>
        <w:t>平安基金管理有限公司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pPr>
        <w:spacing w:line="360" w:lineRule="auto"/>
        <w:ind w:firstLine="480" w:firstLineChars="200"/>
        <w:rPr>
          <w:bCs/>
          <w:sz w:val="24"/>
        </w:rPr>
      </w:pPr>
      <w:r>
        <w:rPr>
          <w:rFonts w:hint="eastAsia"/>
          <w:bCs/>
          <w:sz w:val="24"/>
        </w:rPr>
        <w:t>2</w:t>
      </w:r>
      <w:r>
        <w:rPr>
          <w:bCs/>
          <w:sz w:val="24"/>
        </w:rPr>
        <w:t>6</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pPr>
        <w:spacing w:line="360" w:lineRule="auto"/>
        <w:ind w:firstLine="480" w:firstLineChars="200"/>
        <w:rPr>
          <w:bCs/>
          <w:sz w:val="24"/>
        </w:rPr>
      </w:pPr>
      <w:r>
        <w:rPr>
          <w:bCs/>
          <w:sz w:val="24"/>
        </w:rPr>
        <w:t>27</w:t>
      </w:r>
      <w:r>
        <w:rPr>
          <w:rFonts w:hint="eastAsia"/>
          <w:bCs/>
          <w:sz w:val="24"/>
        </w:rPr>
        <w:t>、</w:t>
      </w:r>
      <w:r>
        <w:rPr>
          <w:bCs/>
          <w:sz w:val="24"/>
        </w:rPr>
        <w:t>登记机构：指办理登记业务的机构。基金的登记机构为</w:t>
      </w:r>
      <w:r>
        <w:rPr>
          <w:rFonts w:hint="eastAsia"/>
          <w:bCs/>
          <w:sz w:val="24"/>
        </w:rPr>
        <w:t>平安基金管理有限公司</w:t>
      </w:r>
      <w:r>
        <w:rPr>
          <w:bCs/>
          <w:sz w:val="24"/>
        </w:rPr>
        <w:t>或接受</w:t>
      </w:r>
      <w:r>
        <w:rPr>
          <w:rFonts w:hint="eastAsia"/>
          <w:bCs/>
          <w:sz w:val="24"/>
        </w:rPr>
        <w:t>平安基金管理有限公司</w:t>
      </w:r>
      <w:r>
        <w:rPr>
          <w:bCs/>
          <w:sz w:val="24"/>
        </w:rPr>
        <w:t>委托代为办理登记业务的机构</w:t>
      </w:r>
    </w:p>
    <w:p>
      <w:pPr>
        <w:spacing w:line="360" w:lineRule="auto"/>
        <w:ind w:firstLine="480" w:firstLineChars="200"/>
        <w:rPr>
          <w:bCs/>
          <w:sz w:val="24"/>
        </w:rPr>
      </w:pPr>
      <w:r>
        <w:rPr>
          <w:bCs/>
          <w:sz w:val="24"/>
        </w:rPr>
        <w:t>28</w:t>
      </w:r>
      <w:r>
        <w:rPr>
          <w:rFonts w:hint="eastAsia"/>
          <w:bCs/>
          <w:sz w:val="24"/>
        </w:rPr>
        <w:t>、</w:t>
      </w:r>
      <w:r>
        <w:rPr>
          <w:bCs/>
          <w:sz w:val="24"/>
        </w:rPr>
        <w:t>基金账户：指登记机构为投资人开立的、记录其持有的、基金管理人所管理的基金份额余额及其变动情况的账户</w:t>
      </w:r>
    </w:p>
    <w:p>
      <w:pPr>
        <w:spacing w:line="360" w:lineRule="auto"/>
        <w:ind w:firstLine="480" w:firstLineChars="200"/>
        <w:rPr>
          <w:bCs/>
          <w:sz w:val="24"/>
        </w:rPr>
      </w:pPr>
      <w:r>
        <w:rPr>
          <w:bCs/>
          <w:sz w:val="24"/>
        </w:rPr>
        <w:t>29</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w:t>
      </w:r>
      <w:r>
        <w:rPr>
          <w:bCs/>
          <w:sz w:val="24"/>
        </w:rPr>
        <w:t>引起的基金份额变动及结余情况的账户</w:t>
      </w:r>
    </w:p>
    <w:p>
      <w:pPr>
        <w:spacing w:line="360" w:lineRule="auto"/>
        <w:ind w:firstLine="480" w:firstLineChars="20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rFonts w:hint="eastAsia"/>
          <w:bCs/>
          <w:sz w:val="24"/>
        </w:rPr>
        <w:t>3</w:t>
      </w:r>
      <w:r>
        <w:rPr>
          <w:bCs/>
          <w:sz w:val="24"/>
        </w:rPr>
        <w:t>1</w:t>
      </w:r>
      <w:r>
        <w:rPr>
          <w:rFonts w:hint="eastAsia"/>
          <w:bCs/>
          <w:sz w:val="24"/>
        </w:rPr>
        <w:t>、</w:t>
      </w:r>
      <w:r>
        <w:rPr>
          <w:bCs/>
          <w:sz w:val="24"/>
        </w:rPr>
        <w:t>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rFonts w:hint="eastAsia"/>
          <w:bCs/>
          <w:sz w:val="24"/>
        </w:rPr>
        <w:t>3</w:t>
      </w:r>
      <w:r>
        <w:rPr>
          <w:bCs/>
          <w:sz w:val="24"/>
        </w:rPr>
        <w:t>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pPr>
        <w:spacing w:line="360" w:lineRule="auto"/>
        <w:ind w:firstLine="480" w:firstLineChars="200"/>
        <w:rPr>
          <w:bCs/>
          <w:sz w:val="24"/>
        </w:rPr>
      </w:pPr>
      <w:r>
        <w:rPr>
          <w:rFonts w:hint="eastAsia"/>
          <w:bCs/>
          <w:sz w:val="24"/>
        </w:rPr>
        <w:t>3</w:t>
      </w:r>
      <w:r>
        <w:rPr>
          <w:bCs/>
          <w:sz w:val="24"/>
        </w:rPr>
        <w:t>3</w:t>
      </w:r>
      <w:r>
        <w:rPr>
          <w:rFonts w:hint="eastAsia"/>
          <w:bCs/>
          <w:sz w:val="24"/>
        </w:rPr>
        <w:t>、</w:t>
      </w:r>
      <w:r>
        <w:rPr>
          <w:bCs/>
          <w:sz w:val="24"/>
        </w:rPr>
        <w:t>存续期：指基金合同生效至终止之间的不定期期限</w:t>
      </w:r>
    </w:p>
    <w:p>
      <w:pPr>
        <w:spacing w:line="360" w:lineRule="auto"/>
        <w:ind w:firstLine="480" w:firstLineChars="200"/>
        <w:rPr>
          <w:bCs/>
          <w:sz w:val="24"/>
        </w:rPr>
      </w:pPr>
      <w:r>
        <w:rPr>
          <w:rFonts w:hint="eastAsia"/>
          <w:bCs/>
          <w:sz w:val="24"/>
        </w:rPr>
        <w:t>3</w:t>
      </w:r>
      <w:r>
        <w:rPr>
          <w:bCs/>
          <w:sz w:val="24"/>
        </w:rPr>
        <w:t>4</w:t>
      </w:r>
      <w:r>
        <w:rPr>
          <w:rFonts w:hint="eastAsia"/>
          <w:bCs/>
          <w:sz w:val="24"/>
        </w:rPr>
        <w:t>、</w:t>
      </w:r>
      <w:r>
        <w:rPr>
          <w:bCs/>
          <w:sz w:val="24"/>
        </w:rPr>
        <w:t>工作日：指上海证券交易所、深圳证券交易所的正常交易日</w:t>
      </w:r>
    </w:p>
    <w:p>
      <w:pPr>
        <w:spacing w:line="360" w:lineRule="auto"/>
        <w:ind w:firstLine="480" w:firstLineChars="200"/>
        <w:rPr>
          <w:bCs/>
          <w:sz w:val="24"/>
        </w:rPr>
      </w:pPr>
      <w:r>
        <w:rPr>
          <w:bCs/>
          <w:sz w:val="24"/>
        </w:rPr>
        <w:t>35</w:t>
      </w:r>
      <w:r>
        <w:rPr>
          <w:rFonts w:hint="eastAsia"/>
          <w:bCs/>
          <w:sz w:val="24"/>
        </w:rPr>
        <w:t>、</w:t>
      </w:r>
      <w:r>
        <w:rPr>
          <w:bCs/>
          <w:sz w:val="24"/>
        </w:rPr>
        <w:t>T日：指销售机构在规定时间受理投资人申购、赎回或其他业务申请的开放日</w:t>
      </w:r>
    </w:p>
    <w:p>
      <w:pPr>
        <w:spacing w:line="360" w:lineRule="auto"/>
        <w:ind w:firstLine="480" w:firstLineChars="200"/>
        <w:rPr>
          <w:bCs/>
          <w:sz w:val="24"/>
        </w:rPr>
      </w:pPr>
      <w:r>
        <w:rPr>
          <w:bCs/>
          <w:sz w:val="24"/>
        </w:rPr>
        <w:t>36</w:t>
      </w:r>
      <w:r>
        <w:rPr>
          <w:rFonts w:hint="eastAsia"/>
          <w:bCs/>
          <w:sz w:val="24"/>
        </w:rPr>
        <w:t>、</w:t>
      </w:r>
      <w:r>
        <w:rPr>
          <w:bCs/>
          <w:sz w:val="24"/>
        </w:rPr>
        <w:t>T+n日：指自T日起第n个工作日(不包含T日)</w:t>
      </w:r>
      <w:r>
        <w:rPr>
          <w:rFonts w:hint="eastAsia"/>
          <w:bCs/>
          <w:sz w:val="24"/>
        </w:rPr>
        <w:t>，n为自然数</w:t>
      </w:r>
    </w:p>
    <w:p>
      <w:pPr>
        <w:spacing w:line="360" w:lineRule="auto"/>
        <w:ind w:firstLine="480" w:firstLineChars="200"/>
        <w:rPr>
          <w:bCs/>
          <w:sz w:val="24"/>
        </w:rPr>
      </w:pPr>
      <w:r>
        <w:rPr>
          <w:bCs/>
          <w:sz w:val="24"/>
        </w:rPr>
        <w:t>37</w:t>
      </w:r>
      <w:r>
        <w:rPr>
          <w:rFonts w:hint="eastAsia"/>
          <w:bCs/>
          <w:sz w:val="24"/>
        </w:rPr>
        <w:t>、</w:t>
      </w:r>
      <w:r>
        <w:rPr>
          <w:bCs/>
          <w:sz w:val="24"/>
        </w:rPr>
        <w:t>开放日：指为投资人办理基金份额申购、赎回或其他业务的工作日</w:t>
      </w:r>
    </w:p>
    <w:p>
      <w:pPr>
        <w:spacing w:line="360" w:lineRule="auto"/>
        <w:ind w:firstLine="480" w:firstLineChars="200"/>
        <w:rPr>
          <w:bCs/>
          <w:sz w:val="24"/>
        </w:rPr>
      </w:pPr>
      <w:r>
        <w:rPr>
          <w:bCs/>
          <w:sz w:val="24"/>
        </w:rPr>
        <w:t>38</w:t>
      </w:r>
      <w:r>
        <w:rPr>
          <w:rFonts w:hint="eastAsia"/>
          <w:bCs/>
          <w:sz w:val="24"/>
        </w:rPr>
        <w:t>、</w:t>
      </w:r>
      <w:r>
        <w:rPr>
          <w:bCs/>
          <w:sz w:val="24"/>
        </w:rPr>
        <w:t>开放时间：指开放日基金接受申购、赎回或其他交易的时间段</w:t>
      </w:r>
    </w:p>
    <w:p>
      <w:pPr>
        <w:spacing w:line="360" w:lineRule="auto"/>
        <w:ind w:firstLine="480" w:firstLineChars="200"/>
        <w:rPr>
          <w:bCs/>
          <w:sz w:val="24"/>
        </w:rPr>
      </w:pPr>
      <w:r>
        <w:rPr>
          <w:bCs/>
          <w:sz w:val="24"/>
        </w:rPr>
        <w:t>39</w:t>
      </w:r>
      <w:r>
        <w:rPr>
          <w:rFonts w:hint="eastAsia"/>
          <w:bCs/>
          <w:sz w:val="24"/>
        </w:rPr>
        <w:t>、</w:t>
      </w:r>
      <w:r>
        <w:rPr>
          <w:bCs/>
          <w:sz w:val="24"/>
        </w:rPr>
        <w:t>《业务规则》：指《</w:t>
      </w:r>
      <w:r>
        <w:rPr>
          <w:rFonts w:hint="eastAsia"/>
          <w:bCs/>
          <w:sz w:val="24"/>
        </w:rPr>
        <w:t>平安基金管理有限公司</w:t>
      </w:r>
      <w:r>
        <w:rPr>
          <w:bCs/>
          <w:sz w:val="24"/>
        </w:rPr>
        <w:t>开放式基金业务规则》，是规范基金管理人所管理的开放式证券投资基金登记方面的业务规则，由基金管理人和投资人共同遵守</w:t>
      </w:r>
    </w:p>
    <w:p>
      <w:pPr>
        <w:spacing w:line="360" w:lineRule="auto"/>
        <w:ind w:firstLine="480" w:firstLineChars="200"/>
        <w:rPr>
          <w:bCs/>
          <w:sz w:val="24"/>
        </w:rPr>
      </w:pPr>
      <w:r>
        <w:rPr>
          <w:bCs/>
          <w:sz w:val="24"/>
        </w:rPr>
        <w:t>40</w:t>
      </w:r>
      <w:r>
        <w:rPr>
          <w:rFonts w:hint="eastAsia"/>
          <w:bCs/>
          <w:sz w:val="24"/>
        </w:rPr>
        <w:t>、</w:t>
      </w:r>
      <w:r>
        <w:rPr>
          <w:bCs/>
          <w:sz w:val="24"/>
        </w:rPr>
        <w:t>认购：指在基金募集期内，投资人根据基金合同和招募说明书的规定申请购买基金份额的行为</w:t>
      </w:r>
    </w:p>
    <w:p>
      <w:pPr>
        <w:spacing w:line="360" w:lineRule="auto"/>
        <w:ind w:firstLine="480" w:firstLineChars="200"/>
        <w:rPr>
          <w:bCs/>
          <w:sz w:val="24"/>
        </w:rPr>
      </w:pPr>
      <w:r>
        <w:rPr>
          <w:rFonts w:hint="eastAsia"/>
          <w:bCs/>
          <w:sz w:val="24"/>
        </w:rPr>
        <w:t>4</w:t>
      </w:r>
      <w:r>
        <w:rPr>
          <w:bCs/>
          <w:sz w:val="24"/>
        </w:rPr>
        <w:t>1</w:t>
      </w:r>
      <w:r>
        <w:rPr>
          <w:rFonts w:hint="eastAsia"/>
          <w:bCs/>
          <w:sz w:val="24"/>
        </w:rPr>
        <w:t>、</w:t>
      </w:r>
      <w:r>
        <w:rPr>
          <w:bCs/>
          <w:sz w:val="24"/>
        </w:rPr>
        <w:t>申购：指基金合同生效后的开放期内，投资人根据基金合同和招募说明书的规定申请购买基金份额的行为</w:t>
      </w:r>
    </w:p>
    <w:p>
      <w:pPr>
        <w:spacing w:line="360" w:lineRule="auto"/>
        <w:ind w:firstLine="480" w:firstLineChars="200"/>
        <w:rPr>
          <w:bCs/>
          <w:sz w:val="24"/>
        </w:rPr>
      </w:pPr>
      <w:r>
        <w:rPr>
          <w:rFonts w:hint="eastAsia"/>
          <w:bCs/>
          <w:sz w:val="24"/>
        </w:rPr>
        <w:t>4</w:t>
      </w:r>
      <w:r>
        <w:rPr>
          <w:bCs/>
          <w:sz w:val="24"/>
        </w:rPr>
        <w:t>2</w:t>
      </w:r>
      <w:r>
        <w:rPr>
          <w:rFonts w:hint="eastAsia"/>
          <w:bCs/>
          <w:sz w:val="24"/>
        </w:rPr>
        <w:t>、</w:t>
      </w:r>
      <w:r>
        <w:rPr>
          <w:bCs/>
          <w:sz w:val="24"/>
        </w:rPr>
        <w:t>赎回：指基金合同生效后的开放期内，基金份额持有人按基金合同</w:t>
      </w:r>
      <w:r>
        <w:rPr>
          <w:rFonts w:hint="eastAsia"/>
          <w:bCs/>
          <w:sz w:val="24"/>
        </w:rPr>
        <w:t>和招募说明书</w:t>
      </w:r>
      <w:r>
        <w:rPr>
          <w:bCs/>
          <w:sz w:val="24"/>
        </w:rPr>
        <w:t>规定的条件要求将基金份额兑换为现金的行为</w:t>
      </w:r>
    </w:p>
    <w:p>
      <w:pPr>
        <w:spacing w:line="360" w:lineRule="auto"/>
        <w:ind w:firstLine="480" w:firstLineChars="200"/>
        <w:rPr>
          <w:bCs/>
          <w:sz w:val="24"/>
        </w:rPr>
      </w:pPr>
      <w:r>
        <w:rPr>
          <w:rFonts w:hint="eastAsia"/>
          <w:bCs/>
          <w:sz w:val="24"/>
        </w:rPr>
        <w:t>43、定期开放：指本基金采取在封闭期内封闭运作、封闭期与封闭期之间定期开放的运作方式</w:t>
      </w:r>
    </w:p>
    <w:p>
      <w:pPr>
        <w:spacing w:line="360" w:lineRule="auto"/>
        <w:ind w:firstLine="426"/>
        <w:rPr>
          <w:bCs/>
          <w:sz w:val="24"/>
        </w:rPr>
      </w:pPr>
      <w:r>
        <w:rPr>
          <w:rFonts w:hint="eastAsia"/>
          <w:bCs/>
          <w:sz w:val="24"/>
        </w:rPr>
        <w:t>4</w:t>
      </w:r>
      <w:r>
        <w:rPr>
          <w:bCs/>
          <w:sz w:val="24"/>
        </w:rPr>
        <w:t>4</w:t>
      </w:r>
      <w:r>
        <w:rPr>
          <w:rFonts w:hint="eastAsia"/>
          <w:bCs/>
          <w:sz w:val="24"/>
        </w:rPr>
        <w:t>、封闭期：本基金的首个封闭期为自基金合同生效日（含该日）起至基金合同生效日所对应的12个月月度对日的前一日。下一个封闭期为首个开放期结束之日次日起（含该日）至首个开放期结束之日次日所对应的12个月月度对日的前一日，以此类推。本基金在封闭期内不办理申购与赎回等业务（红利再投资除外），也不上市交易</w:t>
      </w:r>
    </w:p>
    <w:p>
      <w:pPr>
        <w:spacing w:line="360" w:lineRule="auto"/>
        <w:ind w:firstLine="480" w:firstLineChars="200"/>
        <w:rPr>
          <w:bCs/>
          <w:sz w:val="24"/>
        </w:rPr>
      </w:pPr>
      <w:r>
        <w:rPr>
          <w:rFonts w:hint="eastAsia"/>
          <w:bCs/>
          <w:sz w:val="24"/>
        </w:rPr>
        <w:t>4</w:t>
      </w:r>
      <w:r>
        <w:rPr>
          <w:bCs/>
          <w:sz w:val="24"/>
        </w:rPr>
        <w:t>5</w:t>
      </w:r>
      <w:r>
        <w:rPr>
          <w:rFonts w:hint="eastAsia"/>
          <w:bCs/>
          <w:sz w:val="24"/>
        </w:rPr>
        <w:t>、开放期：本基金自每个封闭期结束后第一个工作日（含该日）起进入开放期，期间可以办理申购与赎回等业务。本基金每个开放期最长不超过 20个工作日，最短不少于5个工作日，如封闭期结束后或在开放期内发生不可抗力或其他情形致使基金无法按时开放申购与赎回等业务的，或依据基金合同需暂停申购或赎回等业务的，或发生基金合同约定需要延长开放期的其他情形的，开放期时间顺延，直到满足开放期的时间要求，开放期的具体时间由基金管理人在每个开放期前依照《信息披露办法》的有关规定在规定媒介上予以公告</w:t>
      </w:r>
    </w:p>
    <w:p>
      <w:pPr>
        <w:spacing w:line="360" w:lineRule="auto"/>
        <w:ind w:firstLine="480" w:firstLineChars="200"/>
        <w:rPr>
          <w:bCs/>
          <w:sz w:val="24"/>
        </w:rPr>
      </w:pPr>
      <w:r>
        <w:rPr>
          <w:rFonts w:hint="eastAsia"/>
          <w:bCs/>
          <w:sz w:val="24"/>
        </w:rPr>
        <w:t>46、</w:t>
      </w:r>
      <w:r>
        <w:rPr>
          <w:bCs/>
          <w:sz w:val="24"/>
        </w:rPr>
        <w:t>基金转换：指基金份额持有人在开放期内按照本基金合同和基金管理人届时有效公告规定的条件，申请将其持有基金管理人管理的</w:t>
      </w:r>
      <w:r>
        <w:rPr>
          <w:rFonts w:hint="eastAsia"/>
          <w:bCs/>
          <w:sz w:val="24"/>
        </w:rPr>
        <w:t>在同一基金登记机构登记的</w:t>
      </w:r>
      <w:r>
        <w:rPr>
          <w:bCs/>
          <w:sz w:val="24"/>
        </w:rPr>
        <w:t>、某一基金的基金份额转换为基金管理人管理的其他基金基金份额的行为</w:t>
      </w:r>
    </w:p>
    <w:p>
      <w:pPr>
        <w:spacing w:line="360" w:lineRule="auto"/>
        <w:ind w:firstLine="480" w:firstLineChars="200"/>
        <w:rPr>
          <w:bCs/>
          <w:sz w:val="24"/>
        </w:rPr>
      </w:pPr>
      <w:r>
        <w:rPr>
          <w:bCs/>
          <w:sz w:val="24"/>
        </w:rPr>
        <w:t>4</w:t>
      </w:r>
      <w:r>
        <w:rPr>
          <w:rFonts w:hint="eastAsia"/>
          <w:bCs/>
          <w:sz w:val="24"/>
        </w:rPr>
        <w:t>7、</w:t>
      </w:r>
      <w:r>
        <w:rPr>
          <w:bCs/>
          <w:sz w:val="24"/>
        </w:rPr>
        <w:t>转托管：指基金份额持有人在本基金的不同销售机构之间实施的变更所持基金份额销售机构的操作</w:t>
      </w:r>
    </w:p>
    <w:p>
      <w:pPr>
        <w:spacing w:line="360" w:lineRule="auto"/>
        <w:ind w:firstLine="480" w:firstLineChars="200"/>
        <w:rPr>
          <w:bCs/>
          <w:sz w:val="24"/>
        </w:rPr>
      </w:pPr>
      <w:r>
        <w:rPr>
          <w:bCs/>
          <w:sz w:val="24"/>
        </w:rPr>
        <w:t>4</w:t>
      </w:r>
      <w:r>
        <w:rPr>
          <w:rFonts w:hint="eastAsia"/>
          <w:bCs/>
          <w:sz w:val="24"/>
        </w:rPr>
        <w:t>8、</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pPr>
        <w:spacing w:line="360" w:lineRule="auto"/>
        <w:ind w:firstLine="480" w:firstLineChars="200"/>
        <w:rPr>
          <w:sz w:val="24"/>
        </w:rPr>
      </w:pPr>
      <w:r>
        <w:rPr>
          <w:bCs/>
          <w:sz w:val="24"/>
        </w:rPr>
        <w:t>4</w:t>
      </w:r>
      <w:r>
        <w:rPr>
          <w:rFonts w:hint="eastAsia"/>
          <w:bCs/>
          <w:sz w:val="24"/>
        </w:rPr>
        <w:t>9、</w:t>
      </w:r>
      <w:r>
        <w:rPr>
          <w:bCs/>
          <w:sz w:val="24"/>
        </w:rPr>
        <w:t>巨额赎回：指本基金开放期内的单个开放日，基金净赎回申请(赎回申请份额总数加上基金转换中转出申请份额总数后扣除申购申请份额总数及基金转换中转入申请份额总数后的余额)超过上一</w:t>
      </w:r>
      <w:r>
        <w:rPr>
          <w:rFonts w:hint="eastAsia"/>
          <w:bCs/>
          <w:sz w:val="24"/>
        </w:rPr>
        <w:t>工作</w:t>
      </w:r>
      <w:r>
        <w:rPr>
          <w:bCs/>
          <w:sz w:val="24"/>
        </w:rPr>
        <w:t>日基金总份额的2</w:t>
      </w:r>
      <w:r>
        <w:rPr>
          <w:rFonts w:hint="eastAsia"/>
          <w:bCs/>
          <w:sz w:val="24"/>
        </w:rPr>
        <w:t>0%</w:t>
      </w:r>
    </w:p>
    <w:p>
      <w:pPr>
        <w:spacing w:line="360" w:lineRule="auto"/>
        <w:ind w:firstLine="480" w:firstLineChars="200"/>
        <w:rPr>
          <w:bCs/>
          <w:sz w:val="24"/>
        </w:rPr>
      </w:pPr>
      <w:r>
        <w:rPr>
          <w:rFonts w:hint="eastAsia"/>
          <w:bCs/>
          <w:sz w:val="24"/>
        </w:rPr>
        <w:t>50、销售服务费：指从基金财产中计提的，用于本基金市场推广、销售以及基金份额持有人服务的费用</w:t>
      </w:r>
    </w:p>
    <w:p>
      <w:pPr>
        <w:spacing w:line="360" w:lineRule="auto"/>
        <w:ind w:firstLine="480" w:firstLineChars="200"/>
        <w:rPr>
          <w:bCs/>
          <w:sz w:val="24"/>
        </w:rPr>
      </w:pPr>
      <w:r>
        <w:rPr>
          <w:rFonts w:hint="eastAsia"/>
          <w:bCs/>
          <w:sz w:val="24"/>
        </w:rPr>
        <w:t>51、基金份额类别：指本基金根据是否收取认购费、申购费、销售服务费的不同，将基金份额分为不同的类别。在认购/申购时收取认购费/申购费，但不从本类别资产中计提销售服务费的基金份额，称为A类基金份额；在认购/申购时不收取认购费/申购费，而是从本类别基金资产中计提销售服务费的基金份额，称为C类基金份额</w:t>
      </w:r>
    </w:p>
    <w:p>
      <w:pPr>
        <w:spacing w:line="360" w:lineRule="auto"/>
        <w:ind w:firstLine="480" w:firstLineChars="200"/>
        <w:rPr>
          <w:bCs/>
          <w:sz w:val="24"/>
        </w:rPr>
      </w:pPr>
      <w:r>
        <w:rPr>
          <w:rFonts w:hint="eastAsia"/>
          <w:bCs/>
          <w:sz w:val="24"/>
        </w:rPr>
        <w:t>52、</w:t>
      </w:r>
      <w:r>
        <w:rPr>
          <w:bCs/>
          <w:sz w:val="24"/>
        </w:rPr>
        <w:t>元：指人民币元</w:t>
      </w:r>
    </w:p>
    <w:p>
      <w:pPr>
        <w:spacing w:line="360" w:lineRule="auto"/>
        <w:ind w:firstLine="480" w:firstLineChars="200"/>
        <w:rPr>
          <w:bCs/>
          <w:sz w:val="24"/>
        </w:rPr>
      </w:pPr>
      <w:r>
        <w:rPr>
          <w:rFonts w:hint="eastAsia"/>
          <w:bCs/>
          <w:sz w:val="24"/>
        </w:rPr>
        <w:t>53、</w:t>
      </w:r>
      <w:r>
        <w:rPr>
          <w:bCs/>
          <w:sz w:val="24"/>
        </w:rPr>
        <w:t>基金收益：指基金投资所得红利、股息、债券利息、买卖证券价差、银行存款利息、已实现的其他合法收入及因运用基金财产带来的成本和费用的节约</w:t>
      </w:r>
    </w:p>
    <w:p>
      <w:pPr>
        <w:spacing w:line="360" w:lineRule="auto"/>
        <w:ind w:firstLine="480" w:firstLineChars="200"/>
        <w:rPr>
          <w:bCs/>
          <w:sz w:val="24"/>
        </w:rPr>
      </w:pPr>
      <w:r>
        <w:rPr>
          <w:rFonts w:hint="eastAsia"/>
          <w:bCs/>
          <w:sz w:val="24"/>
        </w:rPr>
        <w:t>54、</w:t>
      </w:r>
      <w:r>
        <w:rPr>
          <w:bCs/>
          <w:sz w:val="24"/>
        </w:rPr>
        <w:t>基金资产总值：指基金拥有的各类有价证券、银行存款本息、基金应收款</w:t>
      </w:r>
      <w:r>
        <w:rPr>
          <w:rFonts w:hint="eastAsia"/>
          <w:bCs/>
          <w:sz w:val="24"/>
        </w:rPr>
        <w:t>项</w:t>
      </w:r>
      <w:r>
        <w:rPr>
          <w:bCs/>
          <w:sz w:val="24"/>
        </w:rPr>
        <w:t>及其他资产的价值总和</w:t>
      </w:r>
    </w:p>
    <w:p>
      <w:pPr>
        <w:spacing w:line="360" w:lineRule="auto"/>
        <w:ind w:firstLine="480" w:firstLineChars="200"/>
        <w:rPr>
          <w:bCs/>
          <w:sz w:val="24"/>
        </w:rPr>
      </w:pPr>
      <w:r>
        <w:rPr>
          <w:rFonts w:hint="eastAsia"/>
          <w:bCs/>
          <w:sz w:val="24"/>
        </w:rPr>
        <w:t>55、</w:t>
      </w:r>
      <w:r>
        <w:rPr>
          <w:bCs/>
          <w:sz w:val="24"/>
        </w:rPr>
        <w:t>基金资产净值：指基金资产总值减去基金负债后的价值</w:t>
      </w:r>
    </w:p>
    <w:p>
      <w:pPr>
        <w:spacing w:line="360" w:lineRule="auto"/>
        <w:ind w:firstLine="480" w:firstLineChars="200"/>
        <w:rPr>
          <w:bCs/>
          <w:sz w:val="24"/>
        </w:rPr>
      </w:pPr>
      <w:r>
        <w:rPr>
          <w:rFonts w:hint="eastAsia"/>
          <w:bCs/>
          <w:sz w:val="24"/>
        </w:rPr>
        <w:t>56、</w:t>
      </w:r>
      <w:r>
        <w:rPr>
          <w:bCs/>
          <w:sz w:val="24"/>
        </w:rPr>
        <w:t>基金份额净值：指计算日基金资产净值除以计算日基金份额总数</w:t>
      </w:r>
    </w:p>
    <w:p>
      <w:pPr>
        <w:spacing w:line="360" w:lineRule="auto"/>
        <w:ind w:firstLine="480" w:firstLineChars="200"/>
        <w:rPr>
          <w:bCs/>
          <w:sz w:val="24"/>
        </w:rPr>
      </w:pPr>
      <w:r>
        <w:rPr>
          <w:rFonts w:hint="eastAsia"/>
          <w:bCs/>
          <w:sz w:val="24"/>
        </w:rPr>
        <w:t>57、</w:t>
      </w:r>
      <w:r>
        <w:rPr>
          <w:bCs/>
          <w:sz w:val="24"/>
        </w:rPr>
        <w:t>基金资产估值：指计算评估基金资产和负债的价值，以确定基金资产净值和基金份额净值的过程</w:t>
      </w:r>
    </w:p>
    <w:p>
      <w:pPr>
        <w:spacing w:line="360" w:lineRule="auto"/>
        <w:ind w:firstLine="480" w:firstLineChars="200"/>
        <w:rPr>
          <w:bCs/>
          <w:sz w:val="24"/>
        </w:rPr>
      </w:pPr>
      <w:r>
        <w:rPr>
          <w:rFonts w:hint="eastAsia"/>
          <w:bCs/>
          <w:sz w:val="24"/>
        </w:rPr>
        <w:t>58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80" w:firstLineChars="200"/>
        <w:rPr>
          <w:bCs/>
          <w:sz w:val="24"/>
        </w:rPr>
      </w:pPr>
      <w:r>
        <w:rPr>
          <w:rFonts w:hint="eastAsia"/>
          <w:bCs/>
          <w:sz w:val="24"/>
        </w:rPr>
        <w:t>59、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80" w:firstLineChars="200"/>
        <w:rPr>
          <w:bCs/>
          <w:sz w:val="24"/>
        </w:rPr>
      </w:pPr>
      <w:r>
        <w:rPr>
          <w:rFonts w:hint="eastAsia"/>
          <w:bCs/>
          <w:sz w:val="24"/>
        </w:rPr>
        <w:t>60、</w:t>
      </w: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pPr>
        <w:spacing w:line="360" w:lineRule="auto"/>
        <w:ind w:firstLine="480" w:firstLineChars="200"/>
        <w:rPr>
          <w:bCs/>
          <w:sz w:val="24"/>
        </w:rPr>
      </w:pPr>
      <w:r>
        <w:rPr>
          <w:rFonts w:hint="eastAsia"/>
          <w:bCs/>
          <w:sz w:val="24"/>
        </w:rPr>
        <w:t xml:space="preserve">61、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 </w:t>
      </w:r>
    </w:p>
    <w:p>
      <w:pPr>
        <w:spacing w:line="360" w:lineRule="auto"/>
        <w:ind w:firstLine="480" w:firstLineChars="200"/>
        <w:rPr>
          <w:bCs/>
          <w:sz w:val="24"/>
        </w:rPr>
      </w:pPr>
      <w:r>
        <w:rPr>
          <w:rFonts w:hint="eastAsia"/>
          <w:bCs/>
          <w:sz w:val="24"/>
        </w:rPr>
        <w:t>62、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spacing w:line="360" w:lineRule="auto"/>
        <w:ind w:firstLine="480" w:firstLineChars="200"/>
        <w:rPr>
          <w:bCs/>
          <w:sz w:val="24"/>
        </w:rPr>
      </w:pPr>
      <w:r>
        <w:rPr>
          <w:rFonts w:hint="eastAsia"/>
          <w:bCs/>
          <w:sz w:val="24"/>
        </w:rPr>
        <w:t>63、</w:t>
      </w:r>
      <w:r>
        <w:rPr>
          <w:bCs/>
          <w:sz w:val="24"/>
        </w:rPr>
        <w:t>不可抗力：指本</w:t>
      </w:r>
      <w:r>
        <w:rPr>
          <w:rFonts w:hint="eastAsia"/>
          <w:bCs/>
          <w:sz w:val="24"/>
        </w:rPr>
        <w:t>基金</w:t>
      </w:r>
      <w:r>
        <w:rPr>
          <w:bCs/>
          <w:sz w:val="24"/>
        </w:rPr>
        <w:t>合同当事人不能预见、不能避免且不能克服的客观事件</w:t>
      </w:r>
    </w:p>
    <w:p>
      <w:pPr>
        <w:pStyle w:val="2"/>
        <w:spacing w:before="0" w:after="0"/>
        <w:jc w:val="center"/>
        <w:rPr>
          <w:rFonts w:ascii="Times New Roman"/>
          <w:color w:val="auto"/>
          <w:sz w:val="30"/>
        </w:rPr>
      </w:pPr>
      <w:r>
        <w:rPr>
          <w:rFonts w:ascii="Times New Roman"/>
          <w:b w:val="0"/>
          <w:bCs/>
          <w:color w:val="auto"/>
        </w:rPr>
        <w:br w:type="page"/>
      </w:r>
      <w:bookmarkStart w:id="51" w:name="_Toc6683"/>
      <w:bookmarkStart w:id="52" w:name="_Toc20627"/>
      <w:bookmarkStart w:id="53" w:name="_Toc6149"/>
      <w:bookmarkStart w:id="54" w:name="_Toc733"/>
      <w:bookmarkStart w:id="55" w:name="_Toc13288"/>
      <w:bookmarkStart w:id="56" w:name="_Toc5246"/>
      <w:bookmarkStart w:id="57" w:name="_Toc19173698"/>
      <w:bookmarkStart w:id="58" w:name="_Toc24571"/>
      <w:bookmarkStart w:id="59" w:name="_Toc18631"/>
      <w:bookmarkStart w:id="60" w:name="_Toc20318"/>
      <w:bookmarkStart w:id="61" w:name="_Toc22708"/>
      <w:bookmarkStart w:id="62" w:name="_Toc545"/>
      <w:bookmarkStart w:id="63" w:name="_Toc233456272"/>
      <w:bookmarkStart w:id="64" w:name="_Toc258829400"/>
      <w:r>
        <w:rPr>
          <w:rFonts w:ascii="Times New Roman"/>
          <w:color w:val="auto"/>
          <w:sz w:val="30"/>
        </w:rPr>
        <w:t>第三部分  基金的基本情况</w:t>
      </w:r>
      <w:bookmarkEnd w:id="51"/>
      <w:bookmarkEnd w:id="52"/>
      <w:bookmarkEnd w:id="53"/>
      <w:bookmarkEnd w:id="54"/>
      <w:bookmarkEnd w:id="55"/>
      <w:bookmarkEnd w:id="56"/>
      <w:bookmarkEnd w:id="57"/>
      <w:bookmarkEnd w:id="58"/>
      <w:bookmarkEnd w:id="59"/>
      <w:bookmarkEnd w:id="60"/>
      <w:bookmarkEnd w:id="61"/>
      <w:bookmarkEnd w:id="62"/>
      <w:bookmarkStart w:id="65" w:name="_Toc79392573"/>
    </w:p>
    <w:p>
      <w:pPr>
        <w:spacing w:line="360" w:lineRule="auto"/>
        <w:ind w:firstLine="540"/>
        <w:rPr>
          <w:bCs/>
          <w:sz w:val="24"/>
        </w:rPr>
      </w:pPr>
      <w:bookmarkStart w:id="66" w:name="_Hlt88031774"/>
      <w:bookmarkEnd w:id="66"/>
      <w:bookmarkStart w:id="67" w:name="_Hlt88031741"/>
    </w:p>
    <w:bookmarkEnd w:id="67"/>
    <w:p>
      <w:pPr>
        <w:spacing w:line="360" w:lineRule="auto"/>
        <w:ind w:firstLine="480" w:firstLineChars="200"/>
        <w:rPr>
          <w:bCs/>
          <w:sz w:val="24"/>
        </w:rPr>
      </w:pPr>
      <w:r>
        <w:rPr>
          <w:bCs/>
          <w:sz w:val="24"/>
        </w:rPr>
        <w:t>一、基金名称</w:t>
      </w:r>
      <w:bookmarkEnd w:id="65"/>
    </w:p>
    <w:p>
      <w:pPr>
        <w:spacing w:line="360" w:lineRule="auto"/>
        <w:ind w:firstLine="480" w:firstLineChars="200"/>
        <w:rPr>
          <w:bCs/>
          <w:sz w:val="24"/>
        </w:rPr>
      </w:pPr>
      <w:r>
        <w:rPr>
          <w:rFonts w:hint="eastAsia"/>
          <w:bCs/>
          <w:sz w:val="24"/>
        </w:rPr>
        <w:t>平安瑞兴一年定期开放混合型证券投资基金</w:t>
      </w:r>
    </w:p>
    <w:p>
      <w:pPr>
        <w:spacing w:line="360" w:lineRule="auto"/>
        <w:ind w:firstLine="480" w:firstLineChars="200"/>
        <w:rPr>
          <w:bCs/>
          <w:sz w:val="24"/>
        </w:rPr>
      </w:pPr>
    </w:p>
    <w:p>
      <w:pPr>
        <w:spacing w:line="360" w:lineRule="auto"/>
        <w:ind w:firstLine="480" w:firstLineChars="200"/>
        <w:rPr>
          <w:bCs/>
          <w:sz w:val="24"/>
        </w:rPr>
      </w:pPr>
      <w:bookmarkStart w:id="68" w:name="_Toc79392574"/>
      <w:r>
        <w:rPr>
          <w:bCs/>
          <w:sz w:val="24"/>
        </w:rPr>
        <w:t>二、基金的类别</w:t>
      </w:r>
      <w:bookmarkEnd w:id="68"/>
    </w:p>
    <w:p>
      <w:pPr>
        <w:spacing w:line="360" w:lineRule="auto"/>
        <w:ind w:firstLine="426"/>
        <w:rPr>
          <w:bCs/>
          <w:sz w:val="24"/>
        </w:rPr>
      </w:pPr>
      <w:r>
        <w:rPr>
          <w:rFonts w:hint="eastAsia"/>
          <w:bCs/>
          <w:sz w:val="24"/>
        </w:rPr>
        <w:t>混合型</w:t>
      </w:r>
      <w:r>
        <w:rPr>
          <w:bCs/>
          <w:sz w:val="24"/>
        </w:rPr>
        <w:t>证券投资基金</w:t>
      </w:r>
    </w:p>
    <w:p>
      <w:pPr>
        <w:spacing w:line="360" w:lineRule="auto"/>
        <w:ind w:firstLine="426"/>
        <w:rPr>
          <w:bCs/>
          <w:sz w:val="24"/>
        </w:rPr>
      </w:pPr>
    </w:p>
    <w:p>
      <w:pPr>
        <w:spacing w:line="360" w:lineRule="auto"/>
        <w:ind w:firstLine="426"/>
        <w:rPr>
          <w:bCs/>
          <w:sz w:val="24"/>
        </w:rPr>
      </w:pPr>
      <w:bookmarkStart w:id="69" w:name="_Toc79392575"/>
      <w:r>
        <w:rPr>
          <w:bCs/>
          <w:sz w:val="24"/>
        </w:rPr>
        <w:t>三、基金的运作方式</w:t>
      </w:r>
    </w:p>
    <w:p>
      <w:pPr>
        <w:spacing w:line="360" w:lineRule="auto"/>
        <w:ind w:firstLine="426"/>
        <w:rPr>
          <w:bCs/>
          <w:sz w:val="24"/>
        </w:rPr>
      </w:pPr>
      <w:r>
        <w:rPr>
          <w:rFonts w:hint="eastAsia"/>
          <w:bCs/>
          <w:sz w:val="24"/>
        </w:rPr>
        <w:t xml:space="preserve">契约型、定期开放式 </w:t>
      </w:r>
    </w:p>
    <w:p>
      <w:pPr>
        <w:spacing w:line="360" w:lineRule="auto"/>
        <w:ind w:firstLine="426"/>
        <w:rPr>
          <w:bCs/>
          <w:sz w:val="24"/>
        </w:rPr>
      </w:pPr>
      <w:r>
        <w:rPr>
          <w:rFonts w:hint="eastAsia"/>
          <w:bCs/>
          <w:sz w:val="24"/>
        </w:rPr>
        <w:t xml:space="preserve">本基金以定期开放方式运作，即采用封闭运作和开放运作相结合的方式运作。 </w:t>
      </w:r>
    </w:p>
    <w:p>
      <w:pPr>
        <w:spacing w:line="360" w:lineRule="auto"/>
        <w:ind w:firstLine="426"/>
        <w:rPr>
          <w:bCs/>
          <w:sz w:val="24"/>
        </w:rPr>
      </w:pPr>
      <w:r>
        <w:rPr>
          <w:rFonts w:hint="eastAsia"/>
          <w:bCs/>
          <w:sz w:val="24"/>
        </w:rPr>
        <w:t>本基金的首个封闭期为自基金合同生效日起（含该日）至基金合同生效日所对应的12个月月度对日的前一日。下一个封闭期为首个开放期结束之日次日起（含该日）至首个开放期结束之日次日所对应的 12个月月度对日的前一日，以此类推。</w:t>
      </w:r>
    </w:p>
    <w:p>
      <w:pPr>
        <w:spacing w:line="360" w:lineRule="auto"/>
        <w:ind w:firstLine="426"/>
        <w:rPr>
          <w:bCs/>
          <w:sz w:val="24"/>
        </w:rPr>
      </w:pPr>
      <w:r>
        <w:rPr>
          <w:rFonts w:hint="eastAsia"/>
          <w:bCs/>
          <w:sz w:val="24"/>
        </w:rPr>
        <w:t>如该对应日期为非工作日，则顺延至下一个工作日，若该日历月度中不存在对应日期的，则顺延至该日历月最后一日的下一个工作日。本基金在封闭期内不办理申购与赎回等业务（红利再投资除外），也不上市交易。</w:t>
      </w:r>
    </w:p>
    <w:p>
      <w:pPr>
        <w:spacing w:line="360" w:lineRule="auto"/>
        <w:ind w:firstLine="426"/>
        <w:rPr>
          <w:bCs/>
          <w:sz w:val="24"/>
        </w:rPr>
      </w:pPr>
      <w:r>
        <w:rPr>
          <w:rFonts w:hint="eastAsia"/>
          <w:bCs/>
          <w:sz w:val="24"/>
        </w:rPr>
        <w:t>本基金自每个封闭期结束后第一个工作日（含该日）起进入开放期，期间可以办理申购与赎回等业务。本基金每个开放期最长不超过 20个工作日，最短不少于5个工作日，如封闭期结束后或在开放期内发生不可抗力或其他情形致使基金无法按时开放申购与赎回等业务的，或依据基金合同需暂停申购或赎回等业务的，或发生基金合同约定需要延长开放期的其他情形的，开放期时间顺延，直到满足开放期的时间要求，开放期的具体时间由基金管理人在每个开放期前依照 《信息披露办法》的有关规定在规定媒介上予以公告。</w:t>
      </w:r>
    </w:p>
    <w:p>
      <w:pPr>
        <w:spacing w:line="360" w:lineRule="auto"/>
        <w:ind w:firstLine="480" w:firstLineChars="200"/>
        <w:rPr>
          <w:bCs/>
          <w:sz w:val="24"/>
        </w:rPr>
      </w:pPr>
      <w:r>
        <w:rPr>
          <w:bCs/>
          <w:sz w:val="24"/>
        </w:rPr>
        <w:t>四、基金的投资目标</w:t>
      </w:r>
      <w:bookmarkEnd w:id="69"/>
    </w:p>
    <w:p>
      <w:pPr>
        <w:spacing w:line="360" w:lineRule="auto"/>
        <w:ind w:firstLine="480" w:firstLineChars="200"/>
        <w:rPr>
          <w:bCs/>
          <w:sz w:val="24"/>
        </w:rPr>
      </w:pPr>
      <w:bookmarkStart w:id="70" w:name="_Toc79392576"/>
      <w:r>
        <w:rPr>
          <w:rFonts w:hint="eastAsia"/>
          <w:bCs/>
          <w:sz w:val="24"/>
        </w:rPr>
        <w:t>本基金在严格控制风险的前提下，</w:t>
      </w:r>
      <w:r>
        <w:rPr>
          <w:rFonts w:hint="eastAsia" w:ascii="宋体" w:hAnsi="宋体"/>
          <w:sz w:val="24"/>
        </w:rPr>
        <w:t>通过各类资产的合理配置，</w:t>
      </w:r>
      <w:r>
        <w:rPr>
          <w:rFonts w:hint="eastAsia"/>
          <w:bCs/>
          <w:sz w:val="24"/>
        </w:rPr>
        <w:t>力争实现基金资产的长期稳健增值。</w:t>
      </w:r>
    </w:p>
    <w:p>
      <w:pPr>
        <w:spacing w:line="360" w:lineRule="auto"/>
        <w:ind w:firstLine="480" w:firstLineChars="200"/>
        <w:rPr>
          <w:sz w:val="24"/>
        </w:rPr>
      </w:pPr>
    </w:p>
    <w:p>
      <w:pPr>
        <w:spacing w:line="360" w:lineRule="auto"/>
        <w:ind w:firstLine="480" w:firstLineChars="200"/>
        <w:rPr>
          <w:bCs/>
          <w:sz w:val="24"/>
        </w:rPr>
      </w:pPr>
      <w:r>
        <w:rPr>
          <w:bCs/>
          <w:sz w:val="24"/>
        </w:rPr>
        <w:t>五、</w:t>
      </w:r>
      <w:bookmarkEnd w:id="70"/>
      <w:bookmarkStart w:id="71" w:name="_Toc79392578"/>
      <w:r>
        <w:rPr>
          <w:bCs/>
          <w:sz w:val="24"/>
        </w:rPr>
        <w:t>基金的最低募集份额总额</w:t>
      </w:r>
    </w:p>
    <w:p>
      <w:pPr>
        <w:spacing w:line="360" w:lineRule="auto"/>
        <w:ind w:firstLine="480" w:firstLineChars="200"/>
        <w:rPr>
          <w:bCs/>
          <w:sz w:val="24"/>
        </w:rPr>
      </w:pPr>
      <w:r>
        <w:rPr>
          <w:bCs/>
          <w:sz w:val="24"/>
        </w:rPr>
        <w:t>本基金的最低募集份额总额为</w:t>
      </w:r>
      <w:r>
        <w:rPr>
          <w:rFonts w:hint="eastAsia"/>
          <w:bCs/>
          <w:sz w:val="24"/>
        </w:rPr>
        <w:t>2</w:t>
      </w:r>
      <w:r>
        <w:rPr>
          <w:bCs/>
          <w:sz w:val="24"/>
        </w:rPr>
        <w:t>亿份。</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六</w:t>
      </w:r>
      <w:r>
        <w:rPr>
          <w:bCs/>
          <w:sz w:val="24"/>
        </w:rPr>
        <w:t>、基金份额</w:t>
      </w:r>
      <w:r>
        <w:rPr>
          <w:rFonts w:hint="eastAsia"/>
          <w:bCs/>
          <w:sz w:val="24"/>
        </w:rPr>
        <w:t>发售</w:t>
      </w:r>
      <w:r>
        <w:rPr>
          <w:bCs/>
          <w:sz w:val="24"/>
        </w:rPr>
        <w:t>面值</w:t>
      </w:r>
      <w:r>
        <w:rPr>
          <w:rFonts w:hint="eastAsia"/>
          <w:bCs/>
          <w:sz w:val="24"/>
        </w:rPr>
        <w:t>和</w:t>
      </w:r>
      <w:r>
        <w:rPr>
          <w:bCs/>
          <w:sz w:val="24"/>
        </w:rPr>
        <w:t>认购费用</w:t>
      </w:r>
    </w:p>
    <w:p>
      <w:pPr>
        <w:spacing w:line="360" w:lineRule="auto"/>
        <w:ind w:firstLine="480"/>
        <w:rPr>
          <w:bCs/>
          <w:sz w:val="24"/>
        </w:rPr>
      </w:pPr>
      <w:r>
        <w:rPr>
          <w:rFonts w:hint="eastAsia"/>
          <w:bCs/>
          <w:sz w:val="24"/>
        </w:rPr>
        <w:t>本基金基金</w:t>
      </w:r>
      <w:r>
        <w:rPr>
          <w:bCs/>
          <w:sz w:val="24"/>
        </w:rPr>
        <w:t>份额发售面值为</w:t>
      </w:r>
      <w:r>
        <w:rPr>
          <w:rFonts w:hint="eastAsia"/>
          <w:bCs/>
          <w:sz w:val="24"/>
        </w:rPr>
        <w:t>人民币</w:t>
      </w:r>
      <w:r>
        <w:rPr>
          <w:bCs/>
          <w:sz w:val="24"/>
        </w:rPr>
        <w:t xml:space="preserve"> </w:t>
      </w:r>
      <w:r>
        <w:rPr>
          <w:rFonts w:hint="eastAsia"/>
          <w:bCs/>
          <w:sz w:val="24"/>
        </w:rPr>
        <w:t>1.00</w:t>
      </w:r>
      <w:r>
        <w:rPr>
          <w:bCs/>
          <w:sz w:val="24"/>
        </w:rPr>
        <w:t>元</w:t>
      </w:r>
      <w:r>
        <w:rPr>
          <w:rFonts w:hint="eastAsia"/>
          <w:bCs/>
          <w:sz w:val="24"/>
        </w:rPr>
        <w:t>。</w:t>
      </w:r>
    </w:p>
    <w:p>
      <w:pPr>
        <w:spacing w:line="360" w:lineRule="auto"/>
        <w:ind w:firstLine="480" w:firstLineChars="200"/>
        <w:rPr>
          <w:bCs/>
          <w:sz w:val="24"/>
        </w:rPr>
      </w:pPr>
      <w:r>
        <w:rPr>
          <w:bCs/>
          <w:sz w:val="24"/>
        </w:rPr>
        <w:t>本基金</w:t>
      </w:r>
      <w:r>
        <w:rPr>
          <w:rFonts w:hint="eastAsia"/>
          <w:bCs/>
          <w:sz w:val="24"/>
        </w:rPr>
        <w:t>A类基金份额的</w:t>
      </w:r>
      <w:r>
        <w:rPr>
          <w:bCs/>
          <w:sz w:val="24"/>
        </w:rPr>
        <w:t>认购费率按招募说明书及基金产品资料概要的规定执行</w:t>
      </w:r>
      <w:r>
        <w:rPr>
          <w:rFonts w:hint="eastAsia"/>
          <w:bCs/>
          <w:sz w:val="24"/>
        </w:rPr>
        <w:t>，本基金C类基金份额不收取认购费</w:t>
      </w:r>
      <w:r>
        <w:rPr>
          <w:bCs/>
          <w:sz w:val="24"/>
        </w:rPr>
        <w:t>。</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七、</w:t>
      </w:r>
      <w:r>
        <w:rPr>
          <w:bCs/>
          <w:sz w:val="24"/>
        </w:rPr>
        <w:t>基金存续期限</w:t>
      </w:r>
      <w:bookmarkEnd w:id="71"/>
    </w:p>
    <w:p>
      <w:pPr>
        <w:spacing w:line="360" w:lineRule="auto"/>
        <w:ind w:firstLine="480" w:firstLineChars="200"/>
        <w:rPr>
          <w:bCs/>
          <w:sz w:val="24"/>
        </w:rPr>
      </w:pPr>
      <w:r>
        <w:rPr>
          <w:bCs/>
          <w:sz w:val="24"/>
        </w:rPr>
        <w:t>不定期</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八、基金份额类别</w:t>
      </w:r>
    </w:p>
    <w:p>
      <w:pPr>
        <w:spacing w:line="360" w:lineRule="auto"/>
        <w:ind w:firstLine="480" w:firstLineChars="200"/>
        <w:rPr>
          <w:bCs/>
          <w:sz w:val="24"/>
        </w:rPr>
      </w:pPr>
      <w:r>
        <w:rPr>
          <w:rFonts w:hint="eastAsia"/>
          <w:bCs/>
          <w:sz w:val="24"/>
        </w:rPr>
        <w:t>本基金根据认购/申购费用、销售服务费收取方式的不同，将基金份额分为不同的类别。在投资者认购/申购基金时收取认购/申购费用，而不计提销售服务费的，称为A类基金份额；在投资者认购/申购基金份额时不收取认购/申购费用，而是从本类别基金资产中计提销售服务费的，称为C类基金份额。</w:t>
      </w:r>
    </w:p>
    <w:p>
      <w:pPr>
        <w:spacing w:line="360" w:lineRule="auto"/>
        <w:ind w:firstLine="480" w:firstLineChars="200"/>
        <w:rPr>
          <w:bCs/>
          <w:sz w:val="24"/>
        </w:rPr>
      </w:pPr>
      <w:r>
        <w:rPr>
          <w:rFonts w:hint="eastAsia"/>
          <w:bCs/>
          <w:sz w:val="24"/>
        </w:rPr>
        <w:t>本基金A类、C类基金份额分别设置代码。由于基金费用的不同，本基金A类基金份额和C类基金份额将分别计算基金份额净值。计算公式为:</w:t>
      </w:r>
    </w:p>
    <w:p>
      <w:pPr>
        <w:spacing w:line="360" w:lineRule="auto"/>
        <w:ind w:firstLine="480" w:firstLineChars="200"/>
        <w:rPr>
          <w:bCs/>
          <w:sz w:val="24"/>
        </w:rPr>
      </w:pPr>
      <w:r>
        <w:rPr>
          <w:rFonts w:hint="eastAsia"/>
          <w:bCs/>
          <w:sz w:val="24"/>
        </w:rPr>
        <w:t>计算日某类基金份额净值＝计算日该类基金份额的基金资产净值/计算日该类基金份额余额总数</w:t>
      </w:r>
    </w:p>
    <w:p>
      <w:pPr>
        <w:spacing w:line="360" w:lineRule="auto"/>
        <w:ind w:firstLine="480" w:firstLineChars="200"/>
        <w:rPr>
          <w:bCs/>
          <w:sz w:val="24"/>
        </w:rPr>
      </w:pPr>
      <w:r>
        <w:rPr>
          <w:rFonts w:hint="eastAsia"/>
          <w:bCs/>
          <w:sz w:val="24"/>
        </w:rPr>
        <w:t>投资者在认购/申购基金份额时可自行选择基金份额类别。</w:t>
      </w:r>
    </w:p>
    <w:p>
      <w:pPr>
        <w:spacing w:line="360" w:lineRule="auto"/>
        <w:ind w:firstLine="480" w:firstLineChars="200"/>
        <w:rPr>
          <w:bCs/>
          <w:sz w:val="24"/>
        </w:rPr>
      </w:pPr>
      <w:r>
        <w:rPr>
          <w:rFonts w:hint="eastAsia"/>
          <w:bCs/>
          <w:sz w:val="24"/>
        </w:rPr>
        <w:t>有关基金份额类别的具体设置、费率水平等由基金管理人确定，并在招募说明书中公告。根据基金销售情况，在符合法律法规且对已有基金份额持有人利益</w:t>
      </w:r>
      <w:r>
        <w:rPr>
          <w:bCs/>
          <w:sz w:val="24"/>
        </w:rPr>
        <w:t>无实质性不利影响</w:t>
      </w:r>
      <w:r>
        <w:rPr>
          <w:rFonts w:hint="eastAsia"/>
          <w:bCs/>
          <w:sz w:val="24"/>
        </w:rPr>
        <w:t>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前基金管理人需及时公告并报中国证监会备案。</w:t>
      </w:r>
    </w:p>
    <w:p>
      <w:pPr>
        <w:pStyle w:val="2"/>
        <w:spacing w:before="0" w:after="0"/>
        <w:jc w:val="center"/>
        <w:rPr>
          <w:rFonts w:ascii="Times New Roman"/>
          <w:color w:val="auto"/>
          <w:sz w:val="30"/>
        </w:rPr>
      </w:pPr>
      <w:r>
        <w:rPr>
          <w:rFonts w:ascii="Times New Roman"/>
          <w:b w:val="0"/>
          <w:bCs/>
          <w:color w:val="auto"/>
          <w:kern w:val="44"/>
          <w:sz w:val="21"/>
        </w:rPr>
        <w:br w:type="page"/>
      </w:r>
      <w:bookmarkStart w:id="72" w:name="_Toc7151"/>
      <w:bookmarkStart w:id="73" w:name="_Toc29948"/>
      <w:bookmarkStart w:id="74" w:name="_Toc22074"/>
      <w:bookmarkStart w:id="75" w:name="_Toc90742688"/>
      <w:bookmarkStart w:id="76" w:name="_Toc15203"/>
      <w:bookmarkStart w:id="77" w:name="_Toc90742321"/>
      <w:bookmarkStart w:id="78" w:name="_Toc3266"/>
      <w:bookmarkStart w:id="79" w:name="_Toc27189"/>
      <w:bookmarkStart w:id="80" w:name="_Toc6714"/>
      <w:bookmarkStart w:id="81" w:name="_Toc24682"/>
      <w:bookmarkStart w:id="82" w:name="_Toc16265"/>
      <w:bookmarkStart w:id="83" w:name="_Toc27226"/>
      <w:bookmarkStart w:id="84" w:name="_Toc90742390"/>
      <w:bookmarkStart w:id="85" w:name="_Toc29784"/>
      <w:bookmarkStart w:id="86" w:name="_Toc19173699"/>
      <w:r>
        <w:rPr>
          <w:rFonts w:ascii="Times New Roman"/>
          <w:color w:val="auto"/>
          <w:sz w:val="30"/>
        </w:rPr>
        <w:t xml:space="preserve">第四部分  </w:t>
      </w:r>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Times New Roman"/>
          <w:color w:val="auto"/>
          <w:sz w:val="30"/>
        </w:rPr>
        <w:t>基金份额的发售</w:t>
      </w:r>
      <w:bookmarkEnd w:id="86"/>
    </w:p>
    <w:p>
      <w:pPr>
        <w:spacing w:line="360" w:lineRule="auto"/>
        <w:ind w:firstLine="420" w:firstLineChars="200"/>
        <w:rPr>
          <w:bCs/>
          <w:kern w:val="44"/>
        </w:rPr>
      </w:pPr>
    </w:p>
    <w:p>
      <w:pPr>
        <w:spacing w:line="360" w:lineRule="auto"/>
        <w:ind w:firstLine="480" w:firstLineChars="200"/>
        <w:rPr>
          <w:bCs/>
          <w:sz w:val="24"/>
        </w:rPr>
      </w:pPr>
      <w:r>
        <w:rPr>
          <w:bCs/>
          <w:sz w:val="24"/>
        </w:rPr>
        <w:t>一、基金份额的发售时间、发售方式、发售对象</w:t>
      </w:r>
    </w:p>
    <w:p>
      <w:pPr>
        <w:spacing w:line="360" w:lineRule="auto"/>
        <w:ind w:firstLine="480" w:firstLineChars="200"/>
        <w:rPr>
          <w:bCs/>
          <w:sz w:val="24"/>
        </w:rPr>
      </w:pPr>
      <w:r>
        <w:rPr>
          <w:bCs/>
          <w:sz w:val="24"/>
        </w:rPr>
        <w:t>1、发售时间</w:t>
      </w:r>
    </w:p>
    <w:p>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pPr>
        <w:spacing w:line="360" w:lineRule="auto"/>
        <w:ind w:firstLine="480" w:firstLineChars="200"/>
        <w:rPr>
          <w:bCs/>
          <w:sz w:val="24"/>
        </w:rPr>
      </w:pPr>
      <w:r>
        <w:rPr>
          <w:bCs/>
          <w:sz w:val="24"/>
        </w:rPr>
        <w:t>2、发售方式</w:t>
      </w:r>
    </w:p>
    <w:p>
      <w:pPr>
        <w:spacing w:line="360" w:lineRule="auto"/>
        <w:ind w:firstLine="480" w:firstLineChars="200"/>
        <w:rPr>
          <w:bCs/>
          <w:sz w:val="24"/>
        </w:rPr>
      </w:pPr>
      <w:r>
        <w:rPr>
          <w:bCs/>
          <w:sz w:val="24"/>
        </w:rPr>
        <w:t>通过各销售机构的基金销售网点公开发售，</w:t>
      </w:r>
      <w:r>
        <w:rPr>
          <w:rFonts w:hint="eastAsia"/>
          <w:bCs/>
          <w:sz w:val="24"/>
        </w:rPr>
        <w:t>各销售机构的具体名单见基金管理人披露的基金销售机构名录</w:t>
      </w:r>
      <w:r>
        <w:rPr>
          <w:bCs/>
          <w:sz w:val="24"/>
        </w:rPr>
        <w:t>。</w:t>
      </w:r>
    </w:p>
    <w:p>
      <w:pPr>
        <w:spacing w:line="360" w:lineRule="auto"/>
        <w:ind w:firstLine="480" w:firstLineChars="200"/>
        <w:rPr>
          <w:bCs/>
          <w:sz w:val="24"/>
        </w:rPr>
      </w:pPr>
      <w:r>
        <w:rPr>
          <w:bCs/>
          <w:sz w:val="24"/>
        </w:rPr>
        <w:t>3、发售对象</w:t>
      </w:r>
    </w:p>
    <w:p>
      <w:pPr>
        <w:spacing w:line="360" w:lineRule="auto"/>
        <w:ind w:firstLine="480" w:firstLineChars="20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pPr>
        <w:spacing w:line="360" w:lineRule="auto"/>
        <w:ind w:firstLine="480" w:firstLineChars="200"/>
        <w:rPr>
          <w:bCs/>
          <w:sz w:val="24"/>
        </w:rPr>
      </w:pPr>
      <w:r>
        <w:rPr>
          <w:bCs/>
          <w:sz w:val="24"/>
        </w:rPr>
        <w:t>二、基金份额的认购</w:t>
      </w:r>
    </w:p>
    <w:p>
      <w:pPr>
        <w:spacing w:line="360" w:lineRule="auto"/>
        <w:ind w:firstLine="480" w:firstLineChars="200"/>
        <w:rPr>
          <w:bCs/>
          <w:sz w:val="24"/>
        </w:rPr>
      </w:pPr>
      <w:r>
        <w:rPr>
          <w:bCs/>
          <w:sz w:val="24"/>
        </w:rPr>
        <w:t>1、认购费用</w:t>
      </w:r>
    </w:p>
    <w:p>
      <w:pPr>
        <w:spacing w:line="360" w:lineRule="auto"/>
        <w:ind w:firstLine="480" w:firstLineChars="200"/>
        <w:rPr>
          <w:bCs/>
          <w:sz w:val="24"/>
        </w:rPr>
      </w:pPr>
      <w:r>
        <w:rPr>
          <w:rFonts w:hint="eastAsia"/>
          <w:bCs/>
          <w:sz w:val="24"/>
        </w:rPr>
        <w:t>本基金的认购费率由基金管理人决定，并在招募说明书及基金产品资料概要中列示。基金认购费用不列入基金财产。本基金认购费用仅适用于A类份额。C类份额不收取认购费用。</w:t>
      </w:r>
    </w:p>
    <w:p>
      <w:pPr>
        <w:spacing w:line="360" w:lineRule="auto"/>
        <w:ind w:firstLine="480" w:firstLineChars="200"/>
        <w:rPr>
          <w:bCs/>
          <w:sz w:val="24"/>
        </w:rPr>
      </w:pPr>
      <w:r>
        <w:rPr>
          <w:bCs/>
          <w:sz w:val="24"/>
        </w:rPr>
        <w:t>2、募集期利息的处理方式</w:t>
      </w:r>
    </w:p>
    <w:p>
      <w:pPr>
        <w:spacing w:line="360" w:lineRule="auto"/>
        <w:ind w:firstLine="480" w:firstLineChars="200"/>
        <w:rPr>
          <w:bCs/>
          <w:sz w:val="24"/>
        </w:rPr>
      </w:pPr>
      <w:r>
        <w:rPr>
          <w:rFonts w:hint="eastAsia"/>
          <w:bCs/>
          <w:sz w:val="24"/>
        </w:rPr>
        <w:t>有效认购款项在募集期间产生的利息将折算为基金份额归基金份额持有人所有，其中利息转份额以登记机构的记录为准。</w:t>
      </w:r>
    </w:p>
    <w:p>
      <w:pPr>
        <w:spacing w:line="360" w:lineRule="auto"/>
        <w:ind w:firstLine="480" w:firstLineChars="200"/>
        <w:rPr>
          <w:bCs/>
          <w:sz w:val="24"/>
        </w:rPr>
      </w:pPr>
      <w:r>
        <w:rPr>
          <w:bCs/>
          <w:sz w:val="24"/>
        </w:rPr>
        <w:t>3、基金认购份额的计算</w:t>
      </w:r>
    </w:p>
    <w:p>
      <w:pPr>
        <w:spacing w:line="360" w:lineRule="auto"/>
        <w:ind w:firstLine="480" w:firstLineChars="200"/>
        <w:rPr>
          <w:bCs/>
          <w:sz w:val="24"/>
        </w:rPr>
      </w:pPr>
      <w:r>
        <w:rPr>
          <w:bCs/>
          <w:sz w:val="24"/>
        </w:rPr>
        <w:t>基金认购份额具体的计算方法在招募说明书中列示。</w:t>
      </w:r>
    </w:p>
    <w:p>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pPr>
        <w:spacing w:line="360" w:lineRule="auto"/>
        <w:ind w:firstLine="480" w:firstLineChars="200"/>
        <w:rPr>
          <w:bCs/>
          <w:sz w:val="24"/>
        </w:rPr>
      </w:pPr>
      <w:r>
        <w:rPr>
          <w:rFonts w:hint="eastAsia"/>
          <w:bCs/>
          <w:sz w:val="24"/>
        </w:rPr>
        <w:t>认购份额的计算保留到小数点后2位，小数点2位以后的部分四舍五入，由此误差产生的收益或损失由基金财产承担。</w:t>
      </w:r>
    </w:p>
    <w:p>
      <w:pPr>
        <w:spacing w:line="360" w:lineRule="auto"/>
        <w:ind w:firstLine="480" w:firstLineChars="200"/>
        <w:rPr>
          <w:bCs/>
          <w:sz w:val="24"/>
        </w:rPr>
      </w:pPr>
      <w:r>
        <w:rPr>
          <w:rFonts w:hint="eastAsia"/>
          <w:bCs/>
          <w:sz w:val="24"/>
        </w:rPr>
        <w:t>5、认购申请的确认</w:t>
      </w:r>
    </w:p>
    <w:p>
      <w:pPr>
        <w:spacing w:line="360" w:lineRule="auto"/>
        <w:ind w:firstLine="480" w:firstLineChars="200"/>
        <w:rPr>
          <w:bCs/>
          <w:sz w:val="24"/>
        </w:rPr>
      </w:pPr>
      <w:r>
        <w:rPr>
          <w:rFonts w:hint="eastAsia"/>
          <w:bCs/>
          <w:sz w:val="24"/>
        </w:rPr>
        <w:t>基金销售机构对认购申请的受理并不代表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pPr>
        <w:spacing w:line="360" w:lineRule="auto"/>
        <w:ind w:firstLine="480" w:firstLineChars="200"/>
        <w:rPr>
          <w:bCs/>
          <w:sz w:val="24"/>
        </w:rPr>
      </w:pPr>
      <w:r>
        <w:rPr>
          <w:bCs/>
          <w:sz w:val="24"/>
        </w:rPr>
        <w:t>三</w:t>
      </w:r>
      <w:r>
        <w:rPr>
          <w:rFonts w:hint="eastAsia"/>
          <w:bCs/>
          <w:sz w:val="24"/>
        </w:rPr>
        <w:t>、</w:t>
      </w:r>
      <w:r>
        <w:rPr>
          <w:bCs/>
          <w:sz w:val="24"/>
        </w:rPr>
        <w:t>基金份额认购金额的限制</w:t>
      </w:r>
    </w:p>
    <w:p>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p>
    <w:p>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基金管理人可以对每个基金交易账户的单笔最低认购金额进行限制，具体限制请参看招募说明书或相关公告。</w:t>
      </w:r>
    </w:p>
    <w:p>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基金管理人可以对募集期间的单个投资人的累计认购金额进行限制，具体限制和处理方法请参看招募说明书或相关公告。</w:t>
      </w:r>
    </w:p>
    <w:p>
      <w:pPr>
        <w:spacing w:line="360" w:lineRule="auto"/>
        <w:ind w:firstLine="480" w:firstLineChars="200"/>
        <w:rPr>
          <w:bCs/>
          <w:sz w:val="24"/>
        </w:rPr>
      </w:pPr>
      <w:r>
        <w:rPr>
          <w:bCs/>
          <w:sz w:val="24"/>
        </w:rPr>
        <w:t>4、</w:t>
      </w:r>
      <w:r>
        <w:rPr>
          <w:rFonts w:hint="eastAsia"/>
          <w:bCs/>
          <w:sz w:val="24"/>
        </w:rPr>
        <w:t>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spacing w:line="360" w:lineRule="auto"/>
        <w:ind w:firstLine="480" w:firstLineChars="200"/>
        <w:rPr>
          <w:bCs/>
          <w:sz w:val="24"/>
        </w:rPr>
      </w:pPr>
      <w:r>
        <w:rPr>
          <w:rFonts w:hint="eastAsia"/>
          <w:bCs/>
          <w:sz w:val="24"/>
        </w:rPr>
        <w:t>5、投资人在募集期内可以多次认购基金份额，认购费按每笔认购申请单独计算。认购一经受理不得撤销。</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87" w:name="_Toc14893"/>
      <w:bookmarkStart w:id="88" w:name="_Toc6559"/>
      <w:bookmarkStart w:id="89" w:name="_Toc26986"/>
      <w:bookmarkStart w:id="90" w:name="_Toc18329"/>
      <w:bookmarkStart w:id="91" w:name="_Toc17912"/>
      <w:bookmarkStart w:id="92" w:name="_Toc139991735"/>
      <w:bookmarkStart w:id="93" w:name="_Toc7848"/>
      <w:bookmarkStart w:id="94" w:name="_Toc18526"/>
      <w:bookmarkStart w:id="95" w:name="_Toc4741"/>
      <w:bookmarkStart w:id="96" w:name="_Toc18797"/>
      <w:bookmarkStart w:id="97" w:name="_Toc1823"/>
      <w:bookmarkStart w:id="98" w:name="_Toc141703885"/>
      <w:bookmarkStart w:id="99" w:name="_Toc21988"/>
      <w:bookmarkStart w:id="100" w:name="_Toc19173700"/>
      <w:r>
        <w:rPr>
          <w:rFonts w:ascii="Times New Roman"/>
          <w:color w:val="auto"/>
          <w:sz w:val="30"/>
        </w:rPr>
        <w:t xml:space="preserve">第五部分  </w:t>
      </w:r>
      <w:bookmarkEnd w:id="87"/>
      <w:bookmarkEnd w:id="88"/>
      <w:bookmarkEnd w:id="89"/>
      <w:bookmarkEnd w:id="90"/>
      <w:bookmarkEnd w:id="91"/>
      <w:bookmarkEnd w:id="92"/>
      <w:bookmarkEnd w:id="93"/>
      <w:bookmarkEnd w:id="94"/>
      <w:bookmarkEnd w:id="95"/>
      <w:bookmarkEnd w:id="96"/>
      <w:bookmarkEnd w:id="97"/>
      <w:bookmarkEnd w:id="98"/>
      <w:bookmarkEnd w:id="99"/>
      <w:r>
        <w:rPr>
          <w:rFonts w:ascii="Times New Roman"/>
          <w:color w:val="auto"/>
          <w:sz w:val="30"/>
        </w:rPr>
        <w:t>基金备案</w:t>
      </w:r>
      <w:bookmarkEnd w:id="100"/>
    </w:p>
    <w:p>
      <w:pPr>
        <w:spacing w:line="360" w:lineRule="auto"/>
        <w:ind w:firstLine="540"/>
        <w:rPr>
          <w:bCs/>
          <w:sz w:val="24"/>
        </w:rPr>
      </w:pPr>
    </w:p>
    <w:p>
      <w:pPr>
        <w:spacing w:line="360" w:lineRule="auto"/>
        <w:ind w:firstLine="480" w:firstLineChars="200"/>
        <w:rPr>
          <w:bCs/>
          <w:sz w:val="24"/>
        </w:rPr>
      </w:pPr>
      <w:r>
        <w:rPr>
          <w:bCs/>
          <w:sz w:val="24"/>
        </w:rPr>
        <w:t>一、基金备案的条件</w:t>
      </w:r>
    </w:p>
    <w:p>
      <w:pPr>
        <w:spacing w:line="360" w:lineRule="auto"/>
        <w:ind w:firstLine="480" w:firstLineChars="20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pPr>
        <w:spacing w:line="360" w:lineRule="auto"/>
        <w:ind w:firstLine="480" w:firstLineChars="20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bCs/>
          <w:sz w:val="24"/>
        </w:rPr>
      </w:pPr>
      <w:r>
        <w:rPr>
          <w:bCs/>
          <w:sz w:val="24"/>
        </w:rPr>
        <w:t>二、基金合同不能生效时募集资金的处理方式</w:t>
      </w:r>
    </w:p>
    <w:p>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pPr>
        <w:spacing w:line="360" w:lineRule="auto"/>
        <w:ind w:firstLine="480"/>
        <w:rPr>
          <w:bCs/>
          <w:sz w:val="24"/>
        </w:rPr>
      </w:pPr>
      <w:r>
        <w:rPr>
          <w:bCs/>
          <w:sz w:val="24"/>
        </w:rPr>
        <w:t>1、以其固有财产承担因募集行为而产生的债务和费用；</w:t>
      </w:r>
    </w:p>
    <w:p>
      <w:pPr>
        <w:spacing w:line="360" w:lineRule="auto"/>
        <w:ind w:firstLine="480" w:firstLineChars="200"/>
        <w:rPr>
          <w:bCs/>
          <w:sz w:val="24"/>
        </w:rPr>
      </w:pPr>
      <w:r>
        <w:rPr>
          <w:bCs/>
          <w:sz w:val="24"/>
        </w:rPr>
        <w:t>2、在基金募集期限届满后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pPr>
        <w:spacing w:line="360" w:lineRule="auto"/>
        <w:ind w:firstLine="480" w:firstLineChars="200"/>
        <w:rPr>
          <w:bCs/>
          <w:sz w:val="24"/>
        </w:rPr>
      </w:pPr>
      <w:r>
        <w:rPr>
          <w:bCs/>
          <w:sz w:val="24"/>
        </w:rPr>
        <w:t>3、如基金募集失败，基金管理人、基金托管人及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pPr>
        <w:spacing w:line="360" w:lineRule="auto"/>
        <w:ind w:firstLine="480" w:firstLineChars="200"/>
        <w:rPr>
          <w:bCs/>
          <w:sz w:val="24"/>
        </w:rPr>
      </w:pPr>
      <w:r>
        <w:rPr>
          <w:bCs/>
          <w:sz w:val="24"/>
        </w:rPr>
        <w:t>三、基金存续期内的基金份额持有人数量和资产规模</w:t>
      </w:r>
    </w:p>
    <w:p>
      <w:pPr>
        <w:spacing w:line="360" w:lineRule="auto"/>
        <w:ind w:firstLine="480" w:firstLineChars="200"/>
        <w:rPr>
          <w:bCs/>
          <w:sz w:val="24"/>
        </w:rPr>
      </w:pPr>
      <w:r>
        <w:rPr>
          <w:bCs/>
          <w:sz w:val="24"/>
        </w:rPr>
        <w:t>《基金合同》生效后，</w:t>
      </w:r>
      <w:r>
        <w:rPr>
          <w:rFonts w:hint="eastAsia"/>
          <w:bCs/>
          <w:sz w:val="24"/>
        </w:rPr>
        <w:t>连续20个工作日出现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5000万</w:t>
      </w:r>
      <w:r>
        <w:rPr>
          <w:bCs/>
          <w:sz w:val="24"/>
        </w:rPr>
        <w:t>元情形的，基金管理人应当</w:t>
      </w:r>
      <w:r>
        <w:rPr>
          <w:rFonts w:hint="eastAsia"/>
          <w:bCs/>
          <w:sz w:val="24"/>
        </w:rPr>
        <w:t>在定期报告中予以披露；连续60个工作日出现前述情形的，基金管理人应当在10个工作日内</w:t>
      </w:r>
      <w:r>
        <w:rPr>
          <w:bCs/>
          <w:sz w:val="24"/>
        </w:rPr>
        <w:t>向中国证监会</w:t>
      </w:r>
      <w:r>
        <w:rPr>
          <w:rFonts w:hint="eastAsia"/>
          <w:bCs/>
          <w:sz w:val="24"/>
        </w:rPr>
        <w:t>报告</w:t>
      </w:r>
      <w:r>
        <w:rPr>
          <w:bCs/>
          <w:sz w:val="24"/>
        </w:rPr>
        <w:t>并</w:t>
      </w:r>
      <w:r>
        <w:rPr>
          <w:rFonts w:hint="eastAsia"/>
          <w:bCs/>
          <w:sz w:val="24"/>
        </w:rPr>
        <w:t>提出</w:t>
      </w:r>
      <w:r>
        <w:rPr>
          <w:bCs/>
          <w:sz w:val="24"/>
        </w:rPr>
        <w:t>解决方案</w:t>
      </w:r>
      <w:r>
        <w:rPr>
          <w:rFonts w:hint="eastAsia"/>
          <w:bCs/>
          <w:sz w:val="24"/>
        </w:rPr>
        <w:t>，如持续运作、转换运作方式、与其他基金合并或者终止基金合同等，并在六个月内召开基金份额持有人大会进行表决</w:t>
      </w:r>
      <w:r>
        <w:rPr>
          <w:bCs/>
          <w:sz w:val="24"/>
        </w:rPr>
        <w:t>。</w:t>
      </w:r>
    </w:p>
    <w:p>
      <w:pPr>
        <w:spacing w:line="360" w:lineRule="auto"/>
        <w:ind w:firstLine="480" w:firstLineChars="200"/>
        <w:rPr>
          <w:bCs/>
          <w:sz w:val="24"/>
        </w:rPr>
      </w:pPr>
      <w:r>
        <w:rPr>
          <w:bCs/>
          <w:sz w:val="24"/>
        </w:rPr>
        <w:t>法律法规</w:t>
      </w:r>
      <w:r>
        <w:rPr>
          <w:rFonts w:hint="eastAsia"/>
          <w:bCs/>
          <w:sz w:val="24"/>
        </w:rPr>
        <w:t>或中国证监会</w:t>
      </w:r>
      <w:r>
        <w:rPr>
          <w:bCs/>
          <w:sz w:val="24"/>
        </w:rPr>
        <w:t>另有规定时，从其规定。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101" w:name="_Toc20733"/>
      <w:bookmarkStart w:id="102" w:name="_Toc19173701"/>
      <w:bookmarkStart w:id="103" w:name="_Toc1427"/>
      <w:bookmarkStart w:id="104" w:name="_Toc98560352"/>
      <w:bookmarkStart w:id="105" w:name="_Toc48649707"/>
      <w:bookmarkStart w:id="106" w:name="_Toc1270"/>
      <w:bookmarkStart w:id="107" w:name="_Toc123051452"/>
      <w:bookmarkStart w:id="108" w:name="_Toc23822"/>
      <w:bookmarkStart w:id="109" w:name="_Toc4003"/>
      <w:bookmarkStart w:id="110" w:name="_Toc123102453"/>
      <w:bookmarkStart w:id="111" w:name="_Toc610"/>
      <w:bookmarkStart w:id="112" w:name="_Toc141703886"/>
      <w:bookmarkStart w:id="113" w:name="_Toc17244"/>
      <w:bookmarkStart w:id="114" w:name="_Toc10463"/>
      <w:bookmarkStart w:id="115" w:name="_Toc123112234"/>
      <w:bookmarkStart w:id="116" w:name="_Toc11081"/>
      <w:bookmarkStart w:id="117" w:name="_Toc139991736"/>
      <w:bookmarkStart w:id="118" w:name="_Toc7920"/>
      <w:bookmarkStart w:id="119" w:name="_Toc79392606"/>
      <w:bookmarkStart w:id="120" w:name="_Toc23261"/>
      <w:r>
        <w:rPr>
          <w:rFonts w:ascii="Times New Roman"/>
          <w:color w:val="auto"/>
          <w:sz w:val="30"/>
        </w:rPr>
        <w:t>第六部分  基金份额的申购与赎回</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line="360" w:lineRule="auto"/>
        <w:ind w:firstLine="540"/>
        <w:rPr>
          <w:bCs/>
          <w:sz w:val="24"/>
        </w:rPr>
      </w:pPr>
    </w:p>
    <w:p>
      <w:pPr>
        <w:spacing w:line="360" w:lineRule="auto"/>
        <w:ind w:firstLine="480" w:firstLineChars="200"/>
        <w:rPr>
          <w:bCs/>
          <w:sz w:val="24"/>
        </w:rPr>
      </w:pPr>
      <w:r>
        <w:rPr>
          <w:bCs/>
          <w:sz w:val="24"/>
        </w:rPr>
        <w:t>一、申购和赎回场所</w:t>
      </w:r>
    </w:p>
    <w:p>
      <w:pPr>
        <w:spacing w:line="360" w:lineRule="auto"/>
        <w:ind w:firstLine="480" w:firstLineChars="20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将由基金管理人在招募说明书或其他相关公告中列明。基金管理人可根据情况变更或增减销售机构。基金投资</w:t>
      </w:r>
      <w:r>
        <w:rPr>
          <w:rFonts w:hint="eastAsia"/>
          <w:bCs/>
          <w:sz w:val="24"/>
        </w:rPr>
        <w:t>者</w:t>
      </w:r>
      <w:r>
        <w:rPr>
          <w:bCs/>
          <w:sz w:val="24"/>
        </w:rPr>
        <w:t>应当</w:t>
      </w:r>
      <w:r>
        <w:rPr>
          <w:rFonts w:hint="eastAsia"/>
          <w:bCs/>
          <w:sz w:val="24"/>
        </w:rPr>
        <w:t>在</w:t>
      </w:r>
      <w:r>
        <w:rPr>
          <w:bCs/>
          <w:sz w:val="24"/>
        </w:rPr>
        <w:t>销售机构办理基金销售业务的营业场所或按销售机构提供的其他方式办理基金份额的申购与赎回。</w:t>
      </w:r>
    </w:p>
    <w:p>
      <w:pPr>
        <w:spacing w:line="360" w:lineRule="auto"/>
        <w:ind w:firstLine="480" w:firstLineChars="200"/>
        <w:rPr>
          <w:bCs/>
          <w:sz w:val="24"/>
        </w:rPr>
      </w:pPr>
      <w:r>
        <w:rPr>
          <w:bCs/>
          <w:sz w:val="24"/>
        </w:rPr>
        <w:t>二、申购和赎回的开放日及时间</w:t>
      </w:r>
    </w:p>
    <w:p>
      <w:pPr>
        <w:spacing w:line="360" w:lineRule="auto"/>
        <w:ind w:firstLine="480" w:firstLineChars="200"/>
        <w:rPr>
          <w:bCs/>
          <w:sz w:val="24"/>
        </w:rPr>
      </w:pPr>
      <w:r>
        <w:rPr>
          <w:bCs/>
          <w:sz w:val="24"/>
        </w:rPr>
        <w:t>1</w:t>
      </w:r>
      <w:r>
        <w:rPr>
          <w:rFonts w:hint="eastAsia"/>
          <w:bCs/>
          <w:sz w:val="24"/>
        </w:rPr>
        <w:t>、封闭期</w:t>
      </w:r>
      <w:r>
        <w:rPr>
          <w:bCs/>
          <w:sz w:val="24"/>
        </w:rPr>
        <w:t>与开放期</w:t>
      </w:r>
    </w:p>
    <w:p>
      <w:pPr>
        <w:spacing w:line="360" w:lineRule="auto"/>
        <w:ind w:firstLine="426"/>
        <w:rPr>
          <w:bCs/>
          <w:sz w:val="24"/>
        </w:rPr>
      </w:pPr>
      <w:r>
        <w:rPr>
          <w:rFonts w:hint="eastAsia"/>
          <w:bCs/>
          <w:sz w:val="24"/>
        </w:rPr>
        <w:t>本基金的首个封闭期为自基金合同生效日起（含该日）至基金合同生效日所对应的12个月月度对日的前一日。下一个封闭期为首个开放期结束之日次日起（含该日）至首个开放期结束之日次日所对应的 12个月月度对日的前一日，以此类推。</w:t>
      </w:r>
    </w:p>
    <w:p>
      <w:pPr>
        <w:spacing w:line="360" w:lineRule="auto"/>
        <w:ind w:firstLine="426"/>
        <w:rPr>
          <w:bCs/>
          <w:sz w:val="24"/>
        </w:rPr>
      </w:pPr>
      <w:r>
        <w:rPr>
          <w:rFonts w:hint="eastAsia"/>
          <w:bCs/>
          <w:sz w:val="24"/>
        </w:rPr>
        <w:t>如该对应日期为非工作日，则顺延至下一个工作日，若该日历月度中不存在对应日期的，则顺延至该日历月最后一日的下一个工作日。本基金在封闭期内不办理申购与赎回等业务（红利再投资除外），也不上市交易。</w:t>
      </w:r>
    </w:p>
    <w:p>
      <w:pPr>
        <w:spacing w:line="360" w:lineRule="auto"/>
        <w:ind w:firstLine="480" w:firstLineChars="200"/>
        <w:rPr>
          <w:bCs/>
          <w:sz w:val="24"/>
        </w:rPr>
      </w:pPr>
      <w:r>
        <w:rPr>
          <w:rFonts w:hint="eastAsia"/>
          <w:bCs/>
          <w:sz w:val="24"/>
        </w:rPr>
        <w:t>本基金自每个封闭期结束后第一个工作日（含该日）起进入开放期，期间可以办理申购与赎回等业务。本基金每个开放期最长不超过 20个工作日，最短不少于5个工作日，如封闭期结束后或在开放期内发生不可抗力或其他情形致使基金无法按时开放申购与赎回等业务的，或依据基金合同需暂停申购或赎回等业务的，或发生基金合同约定需要延长开放期的其他情形的，开放期时间顺延，直到满足开放期的时间要求，开放期的具体时间由基金管理人在每个开放期前依照 《信息披露办法》的有关规定在规定媒介上予以公告。</w:t>
      </w:r>
    </w:p>
    <w:p>
      <w:pPr>
        <w:spacing w:line="360" w:lineRule="auto"/>
        <w:ind w:firstLine="480" w:firstLineChars="200"/>
        <w:rPr>
          <w:bCs/>
          <w:sz w:val="24"/>
        </w:rPr>
      </w:pPr>
      <w:r>
        <w:rPr>
          <w:rFonts w:hint="eastAsia"/>
          <w:bCs/>
          <w:sz w:val="24"/>
        </w:rPr>
        <w:t>2、</w:t>
      </w:r>
      <w:r>
        <w:rPr>
          <w:bCs/>
          <w:sz w:val="24"/>
        </w:rPr>
        <w:t>开放日及开放时间</w:t>
      </w:r>
    </w:p>
    <w:p>
      <w:pPr>
        <w:spacing w:line="360" w:lineRule="auto"/>
        <w:ind w:firstLine="480" w:firstLineChars="20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r>
        <w:rPr>
          <w:rFonts w:hint="eastAsia"/>
          <w:bCs/>
          <w:sz w:val="24"/>
        </w:rPr>
        <w:t>在封闭期内，本基金不办理申购、赎回业务，也不上市交易。</w:t>
      </w:r>
    </w:p>
    <w:p>
      <w:pPr>
        <w:spacing w:line="360" w:lineRule="auto"/>
        <w:ind w:firstLine="480" w:firstLineChars="20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pPr>
        <w:spacing w:line="360" w:lineRule="auto"/>
        <w:ind w:firstLine="480" w:firstLineChars="200"/>
        <w:rPr>
          <w:bCs/>
          <w:sz w:val="24"/>
        </w:rPr>
      </w:pPr>
      <w:r>
        <w:rPr>
          <w:rFonts w:hint="eastAsia"/>
          <w:bCs/>
          <w:sz w:val="24"/>
        </w:rPr>
        <w:t>3、</w:t>
      </w:r>
      <w:r>
        <w:rPr>
          <w:bCs/>
          <w:sz w:val="24"/>
        </w:rPr>
        <w:t>申购、赎回开始日及业务办理时间</w:t>
      </w:r>
    </w:p>
    <w:p>
      <w:pPr>
        <w:spacing w:line="360" w:lineRule="auto"/>
        <w:ind w:firstLine="480" w:firstLineChars="200"/>
        <w:rPr>
          <w:bCs/>
          <w:sz w:val="24"/>
        </w:rPr>
      </w:pPr>
      <w:r>
        <w:rPr>
          <w:bCs/>
          <w:sz w:val="24"/>
        </w:rPr>
        <w:t>在确定申购开始与赎回开始时间后，基金管理人应在申购、赎回开放日前依照《信息披露办法》的有关规定在规定媒介上公告申购与赎回的开始时间。</w:t>
      </w:r>
    </w:p>
    <w:p>
      <w:pPr>
        <w:spacing w:line="360" w:lineRule="auto"/>
        <w:ind w:firstLine="480" w:firstLineChars="200"/>
        <w:rPr>
          <w:bCs/>
        </w:rPr>
      </w:pPr>
      <w:r>
        <w:rPr>
          <w:bCs/>
          <w:sz w:val="24"/>
        </w:rPr>
        <w:t>基金管理人不得在基金合同约定之外的日期或者时间办理基金份额的申购</w:t>
      </w:r>
      <w:r>
        <w:rPr>
          <w:rFonts w:hint="eastAsia"/>
          <w:bCs/>
          <w:sz w:val="24"/>
        </w:rPr>
        <w:t>、</w:t>
      </w:r>
      <w:r>
        <w:rPr>
          <w:bCs/>
          <w:sz w:val="24"/>
        </w:rPr>
        <w:t>赎回或者转换。在开放期内</w:t>
      </w:r>
      <w:r>
        <w:rPr>
          <w:rFonts w:hint="eastAsia"/>
          <w:bCs/>
          <w:sz w:val="24"/>
        </w:rPr>
        <w:t>，</w:t>
      </w:r>
      <w:r>
        <w:rPr>
          <w:bCs/>
          <w:sz w:val="24"/>
        </w:rPr>
        <w:t>投资人在基金合同约定之外的日期和时间提出申购、赎回或转换申请</w:t>
      </w:r>
      <w:r>
        <w:rPr>
          <w:rFonts w:hint="eastAsia"/>
          <w:bCs/>
          <w:sz w:val="24"/>
        </w:rPr>
        <w:t>且登记机构确认接受</w:t>
      </w:r>
      <w:r>
        <w:rPr>
          <w:bCs/>
          <w:sz w:val="24"/>
        </w:rPr>
        <w:t>的，其基金份额申购、赎回价格为下一开放日</w:t>
      </w:r>
      <w:r>
        <w:rPr>
          <w:rFonts w:hint="eastAsia"/>
          <w:bCs/>
          <w:sz w:val="24"/>
        </w:rPr>
        <w:t>各类基金份额的</w:t>
      </w:r>
      <w:r>
        <w:rPr>
          <w:bCs/>
          <w:sz w:val="24"/>
        </w:rPr>
        <w:t>基金份额申购、赎回的价格。</w:t>
      </w:r>
      <w:r>
        <w:rPr>
          <w:rFonts w:hint="eastAsia"/>
          <w:bCs/>
          <w:sz w:val="24"/>
        </w:rPr>
        <w:t>但若投资人在开放期最后一日业务办理时间结束之后提出申购、赎回或者转换申请的，视为无效申请。</w:t>
      </w:r>
    </w:p>
    <w:p>
      <w:pPr>
        <w:spacing w:line="360" w:lineRule="auto"/>
        <w:ind w:firstLine="480" w:firstLineChars="200"/>
        <w:rPr>
          <w:bCs/>
          <w:sz w:val="24"/>
        </w:rPr>
      </w:pPr>
      <w:r>
        <w:rPr>
          <w:bCs/>
          <w:sz w:val="24"/>
        </w:rPr>
        <w:t>三、申购与赎回的原则</w:t>
      </w:r>
    </w:p>
    <w:p>
      <w:pPr>
        <w:spacing w:line="360" w:lineRule="auto"/>
        <w:ind w:firstLine="480" w:firstLineChars="200"/>
        <w:rPr>
          <w:bCs/>
          <w:sz w:val="24"/>
        </w:rPr>
      </w:pPr>
      <w:r>
        <w:rPr>
          <w:bCs/>
          <w:sz w:val="24"/>
        </w:rPr>
        <w:t>1</w:t>
      </w:r>
      <w:r>
        <w:rPr>
          <w:rFonts w:hint="eastAsia"/>
          <w:bCs/>
          <w:sz w:val="24"/>
        </w:rPr>
        <w:t>、</w:t>
      </w:r>
      <w:r>
        <w:rPr>
          <w:bCs/>
          <w:sz w:val="24"/>
        </w:rPr>
        <w:t>“未知价”原则，即申购、赎回价格以申请当日收市后计算的基金份额净值为基准进行计算；</w:t>
      </w:r>
    </w:p>
    <w:p>
      <w:pPr>
        <w:spacing w:line="360" w:lineRule="auto"/>
        <w:ind w:firstLine="480" w:firstLineChars="200"/>
        <w:rPr>
          <w:bCs/>
          <w:sz w:val="24"/>
        </w:rPr>
      </w:pPr>
      <w:r>
        <w:rPr>
          <w:bCs/>
          <w:sz w:val="24"/>
        </w:rPr>
        <w:t>2</w:t>
      </w:r>
      <w:r>
        <w:rPr>
          <w:rFonts w:hint="eastAsia"/>
          <w:bCs/>
          <w:sz w:val="24"/>
        </w:rPr>
        <w:t>、</w:t>
      </w:r>
      <w:r>
        <w:rPr>
          <w:bCs/>
          <w:sz w:val="24"/>
        </w:rPr>
        <w:t>“金额申购、份额赎回”原则，即申购以金额申请，赎回以份额申请；</w:t>
      </w:r>
    </w:p>
    <w:p>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p>
    <w:p>
      <w:pPr>
        <w:spacing w:line="360" w:lineRule="auto"/>
        <w:ind w:firstLine="480" w:firstLineChars="200"/>
        <w:rPr>
          <w:bCs/>
          <w:sz w:val="24"/>
        </w:rPr>
      </w:pPr>
      <w:r>
        <w:rPr>
          <w:bCs/>
          <w:sz w:val="24"/>
        </w:rPr>
        <w:t>4</w:t>
      </w:r>
      <w:r>
        <w:rPr>
          <w:rFonts w:hint="eastAsia"/>
          <w:bCs/>
          <w:sz w:val="24"/>
        </w:rPr>
        <w:t>、</w:t>
      </w:r>
      <w:r>
        <w:rPr>
          <w:bCs/>
          <w:sz w:val="24"/>
        </w:rPr>
        <w:t>赎回遵循“先进先出”原则，即按照投资人认购、申购的先后次序进行顺序赎回</w:t>
      </w:r>
      <w:r>
        <w:rPr>
          <w:rFonts w:hint="eastAsia"/>
          <w:bCs/>
          <w:sz w:val="24"/>
        </w:rPr>
        <w:t>；</w:t>
      </w:r>
    </w:p>
    <w:p>
      <w:pPr>
        <w:spacing w:line="360" w:lineRule="auto"/>
        <w:ind w:firstLine="480" w:firstLineChars="200"/>
        <w:rPr>
          <w:bCs/>
          <w:sz w:val="24"/>
        </w:rPr>
      </w:pPr>
      <w:r>
        <w:rPr>
          <w:rFonts w:hint="eastAsia"/>
          <w:bCs/>
          <w:sz w:val="24"/>
        </w:rPr>
        <w:t>5、办理申购、赎回业务时，应当遵循基金份额持有人利益优先原则，确保投资者的合法权益不受损害并得到公平对待。</w:t>
      </w:r>
    </w:p>
    <w:p>
      <w:pPr>
        <w:spacing w:line="360" w:lineRule="auto"/>
        <w:ind w:firstLine="480" w:firstLineChars="200"/>
        <w:rPr>
          <w:bCs/>
        </w:rPr>
      </w:pPr>
      <w:r>
        <w:rPr>
          <w:bCs/>
          <w:sz w:val="24"/>
        </w:rPr>
        <w:t>基金管理人可在法律法规允许的情况下，对上述原则进行调整。基金管理人必须在新规则开始实施前依照《信息披露办法》的有关规定在规定媒介上公告。</w:t>
      </w:r>
    </w:p>
    <w:p>
      <w:pPr>
        <w:spacing w:line="360" w:lineRule="auto"/>
        <w:ind w:firstLine="480" w:firstLineChars="200"/>
        <w:rPr>
          <w:bCs/>
          <w:sz w:val="24"/>
        </w:rPr>
      </w:pPr>
      <w:r>
        <w:rPr>
          <w:bCs/>
          <w:sz w:val="24"/>
        </w:rPr>
        <w:t>四、申购与赎回的程序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bCs/>
          <w:sz w:val="24"/>
        </w:rPr>
      </w:pPr>
      <w:r>
        <w:rPr>
          <w:bCs/>
          <w:sz w:val="24"/>
          <w:lang w:val="zh-CN"/>
        </w:rPr>
        <w:t>投资人申购基金份额时，必须</w:t>
      </w:r>
      <w:r>
        <w:rPr>
          <w:rFonts w:hint="eastAsia"/>
          <w:bCs/>
          <w:sz w:val="24"/>
          <w:lang w:val="zh-CN"/>
        </w:rPr>
        <w:t>在规定时间前</w:t>
      </w:r>
      <w:r>
        <w:rPr>
          <w:bCs/>
          <w:sz w:val="24"/>
          <w:lang w:val="zh-CN"/>
        </w:rPr>
        <w:t>全额交付申购款项，投资人交付</w:t>
      </w:r>
      <w:r>
        <w:rPr>
          <w:rFonts w:hint="eastAsia"/>
          <w:bCs/>
          <w:sz w:val="24"/>
          <w:lang w:val="zh-CN"/>
        </w:rPr>
        <w:t>申购</w:t>
      </w:r>
      <w:r>
        <w:rPr>
          <w:bCs/>
          <w:sz w:val="24"/>
          <w:lang w:val="zh-CN"/>
        </w:rPr>
        <w:t>款项，申购</w:t>
      </w:r>
      <w:r>
        <w:rPr>
          <w:rFonts w:hint="eastAsia"/>
          <w:bCs/>
          <w:sz w:val="24"/>
          <w:lang w:val="zh-CN"/>
        </w:rPr>
        <w:t>成立；基金</w:t>
      </w:r>
      <w:r>
        <w:rPr>
          <w:bCs/>
          <w:sz w:val="24"/>
          <w:lang w:val="zh-CN"/>
        </w:rPr>
        <w:t>份额</w:t>
      </w:r>
      <w:r>
        <w:rPr>
          <w:rFonts w:hint="eastAsia"/>
          <w:bCs/>
          <w:sz w:val="24"/>
          <w:lang w:val="zh-CN"/>
        </w:rPr>
        <w:t>登记机构确认基金份额时，申购生效</w:t>
      </w:r>
      <w:r>
        <w:rPr>
          <w:bCs/>
          <w:sz w:val="24"/>
          <w:lang w:val="zh-CN"/>
        </w:rPr>
        <w:t>。</w:t>
      </w:r>
    </w:p>
    <w:p>
      <w:pPr>
        <w:spacing w:line="360" w:lineRule="auto"/>
        <w:ind w:firstLine="480" w:firstLineChars="200"/>
        <w:rPr>
          <w:sz w:val="24"/>
          <w:shd w:val="pct10" w:color="auto" w:fill="FFFFFF"/>
        </w:rPr>
      </w:pPr>
      <w:r>
        <w:rPr>
          <w:rFonts w:hint="eastAsia"/>
          <w:bCs/>
          <w:sz w:val="24"/>
        </w:rPr>
        <w:t>基金份额持有人</w:t>
      </w:r>
      <w:r>
        <w:rPr>
          <w:rFonts w:hint="eastAsia" w:ascii="宋体" w:cs="宋体"/>
          <w:kern w:val="0"/>
          <w:sz w:val="24"/>
          <w:szCs w:val="24"/>
        </w:rPr>
        <w:t>在提交赎回申请时，必须有足够的基金份额余额</w:t>
      </w:r>
      <w:r>
        <w:rPr>
          <w:rFonts w:hint="eastAsia"/>
          <w:bCs/>
          <w:sz w:val="24"/>
        </w:rPr>
        <w:t>，否则所提交的赎回申请不成立</w:t>
      </w:r>
      <w:r>
        <w:rPr>
          <w:rFonts w:hint="eastAsia" w:ascii="宋体" w:cs="宋体"/>
          <w:kern w:val="0"/>
          <w:sz w:val="24"/>
          <w:szCs w:val="24"/>
        </w:rPr>
        <w:t>。</w:t>
      </w:r>
      <w:r>
        <w:rPr>
          <w:rFonts w:hint="eastAsia"/>
          <w:bCs/>
          <w:sz w:val="24"/>
        </w:rPr>
        <w:t>基金份额持有人递交赎回申请，赎回成立；基金份额登记机构确认赎回时，赎回生效。</w:t>
      </w:r>
      <w:r>
        <w:rPr>
          <w:bCs/>
          <w:sz w:val="24"/>
        </w:rPr>
        <w:t>投资</w:t>
      </w:r>
      <w:r>
        <w:rPr>
          <w:rFonts w:hint="eastAsia"/>
          <w:bCs/>
          <w:sz w:val="24"/>
        </w:rPr>
        <w:t>者</w:t>
      </w:r>
      <w:r>
        <w:rPr>
          <w:bCs/>
          <w:sz w:val="24"/>
        </w:rPr>
        <w:t>赎回申请</w:t>
      </w:r>
      <w:r>
        <w:rPr>
          <w:rFonts w:hint="eastAsia"/>
          <w:bCs/>
          <w:sz w:val="24"/>
        </w:rPr>
        <w:t>生效</w:t>
      </w:r>
      <w:r>
        <w:rPr>
          <w:bCs/>
          <w:sz w:val="24"/>
        </w:rPr>
        <w:t>后，基金管理人将在T＋</w:t>
      </w:r>
      <w:r>
        <w:rPr>
          <w:rFonts w:hint="eastAsia"/>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pPr>
        <w:spacing w:line="360" w:lineRule="auto"/>
        <w:ind w:firstLine="480" w:firstLineChars="200"/>
        <w:rPr>
          <w:bCs/>
          <w:sz w:val="24"/>
          <w:shd w:val="pct10" w:color="auto" w:fill="FFFFFF"/>
        </w:rPr>
      </w:pPr>
      <w:r>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遇交易所或交易市场数据传输延迟、通讯系统故障、银行数据交换系统故障或其它非基金管理人及基金托管人所能控制的因素影响业务处理流程，则赎回款顺延至上述情形消除后的下一个工作日划出。</w:t>
      </w:r>
    </w:p>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基金管理人应以交易时间结束前受理</w:t>
      </w:r>
      <w:r>
        <w:rPr>
          <w:rFonts w:hint="eastAsia"/>
          <w:bCs/>
          <w:sz w:val="24"/>
        </w:rPr>
        <w:t>有效</w:t>
      </w:r>
      <w:r>
        <w:rPr>
          <w:bCs/>
          <w:sz w:val="24"/>
        </w:rPr>
        <w:t>申购和赎回申请的当天作为申购或赎回申请日(T日)，在正常情况下，本基金登记机构在T+</w:t>
      </w:r>
      <w:r>
        <w:rPr>
          <w:rFonts w:hint="eastAsia"/>
          <w:bCs/>
          <w:sz w:val="24"/>
        </w:rPr>
        <w:t>1</w:t>
      </w:r>
      <w:r>
        <w:rPr>
          <w:bCs/>
          <w:sz w:val="24"/>
        </w:rPr>
        <w:t>日内对该交易的有效性进行确认。T日提交的有效申请，投资人</w:t>
      </w:r>
      <w:r>
        <w:rPr>
          <w:rFonts w:hint="eastAsia"/>
          <w:bCs/>
          <w:sz w:val="24"/>
        </w:rPr>
        <w:t>应</w:t>
      </w:r>
      <w:r>
        <w:rPr>
          <w:bCs/>
          <w:sz w:val="24"/>
        </w:rPr>
        <w:t>在T+</w:t>
      </w:r>
      <w:r>
        <w:rPr>
          <w:rFonts w:hint="eastAsia"/>
          <w:bCs/>
          <w:sz w:val="24"/>
        </w:rPr>
        <w:t>2</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pPr>
        <w:spacing w:line="360" w:lineRule="auto"/>
        <w:ind w:firstLine="480" w:firstLineChars="200"/>
        <w:rPr>
          <w:bCs/>
          <w:sz w:val="24"/>
        </w:rPr>
      </w:pPr>
      <w:r>
        <w:rPr>
          <w:rFonts w:hint="eastAsia"/>
          <w:bCs/>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否则，由此产生的任何损失由投资人自行承担。</w:t>
      </w:r>
    </w:p>
    <w:p>
      <w:pPr>
        <w:spacing w:line="360" w:lineRule="auto"/>
        <w:ind w:firstLine="480" w:firstLineChars="200"/>
        <w:rPr>
          <w:bCs/>
          <w:sz w:val="24"/>
        </w:rPr>
      </w:pPr>
      <w:r>
        <w:rPr>
          <w:bCs/>
          <w:sz w:val="24"/>
          <w:lang w:val="zh-CN"/>
        </w:rPr>
        <w:t>基金管理人可以在法律法规和基金合同允许的范围内，对上述业务办理时间进行调整，基金管理人必须在调整前依照《信息披露办法》的有关规定在规定媒介上公告。</w:t>
      </w:r>
    </w:p>
    <w:p>
      <w:pPr>
        <w:spacing w:line="360" w:lineRule="auto"/>
        <w:ind w:firstLine="480" w:firstLineChars="200"/>
        <w:rPr>
          <w:bCs/>
          <w:sz w:val="24"/>
        </w:rPr>
      </w:pPr>
      <w:r>
        <w:rPr>
          <w:bCs/>
          <w:sz w:val="24"/>
        </w:rPr>
        <w:t>五、申购和赎回的数量限制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80" w:firstLineChars="200"/>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基金管理人可在法律法规允许的情况下，调整上述规定申购金额和赎回份额的数量限制。基金管理人必须依照《信息披露办法》的有关规定在规定媒介上公告。</w:t>
      </w:r>
    </w:p>
    <w:p>
      <w:pPr>
        <w:spacing w:line="360" w:lineRule="auto"/>
        <w:ind w:firstLine="480" w:firstLineChars="200"/>
        <w:rPr>
          <w:bCs/>
          <w:sz w:val="24"/>
        </w:rPr>
      </w:pPr>
      <w:r>
        <w:rPr>
          <w:bCs/>
          <w:sz w:val="24"/>
        </w:rPr>
        <w:t>六、申购和赎回的价格、费用及其用途</w:t>
      </w:r>
    </w:p>
    <w:p>
      <w:pPr>
        <w:spacing w:line="360" w:lineRule="auto"/>
        <w:ind w:firstLine="480" w:firstLineChars="200"/>
        <w:rPr>
          <w:bCs/>
          <w:sz w:val="24"/>
        </w:rPr>
      </w:pPr>
      <w:r>
        <w:rPr>
          <w:bCs/>
          <w:sz w:val="24"/>
        </w:rPr>
        <w:t>1</w:t>
      </w:r>
      <w:r>
        <w:rPr>
          <w:rFonts w:hint="eastAsia"/>
          <w:bCs/>
          <w:sz w:val="24"/>
        </w:rPr>
        <w:t>、</w:t>
      </w:r>
      <w:r>
        <w:rPr>
          <w:bCs/>
          <w:sz w:val="24"/>
        </w:rPr>
        <w:t>本基金份额净值的计算，保留到小数点后4位，小数点后第5位四舍五入，由此产生的收益或损失由基金财产承担。</w:t>
      </w:r>
      <w:r>
        <w:rPr>
          <w:rFonts w:hint="eastAsia"/>
          <w:bCs/>
          <w:sz w:val="24"/>
        </w:rPr>
        <w:t>《基金合同》生效后，在每个封闭期内，基金管理人应当至少每周在规定网站披露一次A类基金份额、C类基金份额净值和基金份额累计净值。在开放期内，基金管理人应当在不晚于每个开放日的次日，通过规定网站、基金销售机构网站或者营业网点，披露开放日的A类基金份额、C类基金份额净值和A类基金份额、C类基金份额累计净值。</w:t>
      </w:r>
      <w:r>
        <w:rPr>
          <w:bCs/>
          <w:sz w:val="24"/>
        </w:rPr>
        <w:t>遇特殊情况，经</w:t>
      </w:r>
      <w:r>
        <w:rPr>
          <w:rFonts w:hint="eastAsia"/>
          <w:bCs/>
          <w:sz w:val="24"/>
        </w:rPr>
        <w:t>履行适当程序</w:t>
      </w:r>
      <w:r>
        <w:rPr>
          <w:bCs/>
          <w:sz w:val="24"/>
        </w:rPr>
        <w:t>，可以适当延迟计算或</w:t>
      </w:r>
      <w:r>
        <w:rPr>
          <w:rFonts w:hint="eastAsia"/>
          <w:bCs/>
          <w:sz w:val="24"/>
        </w:rPr>
        <w:t>披露</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bCs/>
          <w:sz w:val="24"/>
        </w:rPr>
        <w:t>类基金份额的申购费率由基金管理人决定，并在招募说明书及基金产品资料概要中列示</w:t>
      </w:r>
      <w:r>
        <w:rPr>
          <w:rFonts w:hint="eastAsia"/>
          <w:bCs/>
          <w:sz w:val="24"/>
        </w:rPr>
        <w:t>，C类份额不收取申购费用</w:t>
      </w:r>
      <w:r>
        <w:rPr>
          <w:bCs/>
          <w:sz w:val="24"/>
        </w:rPr>
        <w:t>。申购的有效份额为净申购金额除以当日的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赎回金额的计算及处理方式：本基金赎回金额的计算详见招募说明书。本基金的赎回费率由基金管理人决定，并在招募说明书及基金产品资料概要中列示。赎回金额为按实际确认的有效赎回份额乘以当日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4</w:t>
      </w:r>
      <w:r>
        <w:rPr>
          <w:rFonts w:hint="eastAsia"/>
          <w:bCs/>
          <w:sz w:val="24"/>
        </w:rPr>
        <w:t>、本基金</w:t>
      </w:r>
      <w:r>
        <w:rPr>
          <w:bCs/>
          <w:sz w:val="24"/>
        </w:rPr>
        <w:t>A</w:t>
      </w:r>
      <w:r>
        <w:rPr>
          <w:rFonts w:hint="eastAsia"/>
          <w:bCs/>
          <w:sz w:val="24"/>
        </w:rPr>
        <w:t>类基金份额的申购费用由申购</w:t>
      </w:r>
      <w:r>
        <w:rPr>
          <w:bCs/>
          <w:sz w:val="24"/>
        </w:rPr>
        <w:t>A类基金份额的</w:t>
      </w:r>
      <w:r>
        <w:rPr>
          <w:rFonts w:hint="eastAsia"/>
          <w:bCs/>
          <w:sz w:val="24"/>
        </w:rPr>
        <w:t>投资者承担，不列入基金财产。</w:t>
      </w:r>
      <w:r>
        <w:rPr>
          <w:bCs/>
          <w:sz w:val="24"/>
        </w:rPr>
        <w:t>C</w:t>
      </w:r>
      <w:r>
        <w:rPr>
          <w:rFonts w:hint="eastAsia"/>
          <w:bCs/>
          <w:sz w:val="24"/>
        </w:rPr>
        <w:t>类基金份额不收取申购费用。</w:t>
      </w:r>
      <w:r>
        <w:rPr>
          <w:bCs/>
          <w:sz w:val="24"/>
        </w:rPr>
        <w:t xml:space="preserve"> </w:t>
      </w:r>
    </w:p>
    <w:p>
      <w:pPr>
        <w:spacing w:line="360" w:lineRule="auto"/>
        <w:ind w:firstLine="480" w:firstLineChars="20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赎回费用归入基金财产的比例依照相关法律法规设定，具体见招募说明书的规定，未归入基金财产的部分</w:t>
      </w:r>
      <w:r>
        <w:rPr>
          <w:bCs/>
          <w:sz w:val="24"/>
        </w:rPr>
        <w:t>用于支付登记费和其他必要的手续费。</w:t>
      </w:r>
      <w:r>
        <w:rPr>
          <w:rFonts w:hint="eastAsia"/>
          <w:bCs/>
          <w:sz w:val="24"/>
        </w:rPr>
        <w:t>其中对持续持有期少于7日的投资者收取不低于1.5%的赎回费，</w:t>
      </w:r>
      <w:r>
        <w:rPr>
          <w:bCs/>
          <w:sz w:val="24"/>
        </w:rPr>
        <w:t>并全额计入基金财产。</w:t>
      </w:r>
    </w:p>
    <w:p>
      <w:pPr>
        <w:spacing w:line="360" w:lineRule="auto"/>
        <w:ind w:firstLine="480" w:firstLineChars="200"/>
        <w:rPr>
          <w:bCs/>
          <w:sz w:val="24"/>
        </w:rPr>
      </w:pPr>
      <w:r>
        <w:rPr>
          <w:bCs/>
          <w:sz w:val="24"/>
        </w:rPr>
        <w:t>6</w:t>
      </w:r>
      <w:r>
        <w:rPr>
          <w:rFonts w:hint="eastAsia"/>
          <w:bCs/>
          <w:sz w:val="24"/>
        </w:rPr>
        <w:t>、投资者申购本基金</w:t>
      </w:r>
      <w:r>
        <w:rPr>
          <w:bCs/>
          <w:sz w:val="24"/>
        </w:rPr>
        <w:t>A</w:t>
      </w:r>
      <w:r>
        <w:rPr>
          <w:rFonts w:hint="eastAsia"/>
          <w:bCs/>
          <w:sz w:val="24"/>
        </w:rPr>
        <w:t>类基金份额需缴纳申购费，申购本基金</w:t>
      </w:r>
      <w:r>
        <w:rPr>
          <w:bCs/>
          <w:sz w:val="24"/>
        </w:rPr>
        <w:t>C</w:t>
      </w:r>
      <w:r>
        <w:rPr>
          <w:rFonts w:hint="eastAsia"/>
          <w:bCs/>
          <w:sz w:val="24"/>
        </w:rPr>
        <w:t>类基金份额不需缴纳申购费用。本基金</w:t>
      </w:r>
      <w:r>
        <w:rPr>
          <w:bCs/>
          <w:sz w:val="24"/>
        </w:rPr>
        <w:t>A</w:t>
      </w:r>
      <w:r>
        <w:rPr>
          <w:rFonts w:hint="eastAsia"/>
          <w:bCs/>
          <w:sz w:val="24"/>
        </w:rPr>
        <w:t>类基金份额的申购费率及</w:t>
      </w:r>
      <w:r>
        <w:rPr>
          <w:bCs/>
          <w:sz w:val="24"/>
        </w:rPr>
        <w:t>A</w:t>
      </w:r>
      <w:r>
        <w:rPr>
          <w:rFonts w:hint="eastAsia"/>
          <w:bCs/>
          <w:sz w:val="24"/>
        </w:rPr>
        <w:t>类基金份额和</w:t>
      </w:r>
      <w:r>
        <w:rPr>
          <w:bCs/>
          <w:sz w:val="24"/>
        </w:rPr>
        <w:t>C</w:t>
      </w:r>
      <w:r>
        <w:rPr>
          <w:rFonts w:hint="eastAsia"/>
          <w:bCs/>
          <w:sz w:val="24"/>
        </w:rPr>
        <w:t>类基金份额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r>
        <w:rPr>
          <w:bCs/>
          <w:sz w:val="24"/>
        </w:rPr>
        <w:t xml:space="preserve"> </w:t>
      </w:r>
    </w:p>
    <w:p>
      <w:pPr>
        <w:spacing w:line="360" w:lineRule="auto"/>
        <w:ind w:firstLine="480" w:firstLineChars="200"/>
        <w:rPr>
          <w:bCs/>
          <w:sz w:val="24"/>
        </w:rPr>
      </w:pPr>
      <w:r>
        <w:rPr>
          <w:bCs/>
          <w:sz w:val="24"/>
        </w:rPr>
        <w:t>7、当本基金发生大额申购或赎回情形时，基金管理人可以采用摆动定价机制，以确保基金估值的公平性。具体处理原则与操作规范遵循相关法律法规以及监管部门、自律规则的规定</w:t>
      </w:r>
      <w:r>
        <w:rPr>
          <w:rFonts w:hint="eastAsia"/>
          <w:bCs/>
          <w:sz w:val="24"/>
        </w:rPr>
        <w:t>。</w:t>
      </w:r>
    </w:p>
    <w:p>
      <w:pPr>
        <w:spacing w:line="360" w:lineRule="auto"/>
        <w:ind w:firstLine="480" w:firstLineChars="200"/>
        <w:rPr>
          <w:bCs/>
          <w:sz w:val="24"/>
          <w:shd w:val="pct10" w:color="auto" w:fill="FFFFFF"/>
        </w:rPr>
      </w:pPr>
      <w:r>
        <w:rPr>
          <w:bCs/>
          <w:sz w:val="24"/>
        </w:rPr>
        <w:t>8</w:t>
      </w:r>
      <w:r>
        <w:rPr>
          <w:rFonts w:hint="eastAsia"/>
          <w:bCs/>
          <w:sz w:val="24"/>
        </w:rPr>
        <w:t>、基金管理人可以在不违反法律法规规定及基金合同约定的情形下且对基金份额持有人无实质性不利影响的情况下根据市场情况开展基金促销活动。在基金促销活动期间，按相关监管部门要求履行必要手续后，基金管理人可以适当调低销售费率。</w:t>
      </w:r>
    </w:p>
    <w:p>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pPr>
        <w:spacing w:line="360" w:lineRule="auto"/>
        <w:ind w:firstLine="480" w:firstLineChars="200"/>
        <w:rPr>
          <w:bCs/>
          <w:sz w:val="24"/>
        </w:rPr>
      </w:pPr>
      <w:r>
        <w:rPr>
          <w:bCs/>
          <w:sz w:val="24"/>
        </w:rPr>
        <w:t>在开放期内</w:t>
      </w:r>
      <w:r>
        <w:rPr>
          <w:rFonts w:hint="eastAsia"/>
          <w:bCs/>
          <w:sz w:val="24"/>
        </w:rPr>
        <w:t>，</w:t>
      </w:r>
      <w:r>
        <w:rPr>
          <w:bCs/>
          <w:sz w:val="24"/>
        </w:rPr>
        <w:t>发生下列情况时，基金管理人可拒绝或暂停接受投资人的申购申请：</w:t>
      </w:r>
    </w:p>
    <w:p>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spacing w:line="360" w:lineRule="auto"/>
        <w:ind w:firstLine="480" w:firstLineChars="200"/>
        <w:rPr>
          <w:bCs/>
          <w:sz w:val="24"/>
        </w:rPr>
      </w:pPr>
      <w:r>
        <w:rPr>
          <w:rFonts w:hint="eastAsia"/>
          <w:bCs/>
          <w:sz w:val="24"/>
        </w:rPr>
        <w:t>2、发生基金合同规定的暂停基金资产估值情况时，基金管理人可暂停接受投资人的申购申请。</w:t>
      </w:r>
    </w:p>
    <w:p>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交易所交易时间非正常停市，导致基金管理人无法计算当日基金资产净值。</w:t>
      </w:r>
    </w:p>
    <w:p>
      <w:pPr>
        <w:spacing w:line="360" w:lineRule="auto"/>
        <w:ind w:firstLine="480" w:firstLineChars="200"/>
        <w:rPr>
          <w:bCs/>
          <w:sz w:val="24"/>
        </w:rPr>
      </w:pPr>
      <w:bookmarkStart w:id="121" w:name="_Hlt70481650"/>
      <w:bookmarkEnd w:id="121"/>
      <w:r>
        <w:rPr>
          <w:rFonts w:hint="eastAsia"/>
          <w:bCs/>
          <w:sz w:val="24"/>
        </w:rPr>
        <w:t>4、</w:t>
      </w:r>
      <w:r>
        <w:rPr>
          <w:bCs/>
          <w:sz w:val="24"/>
        </w:rPr>
        <w:t>接受某笔或某些申购申请可能会影响或损害现有基金份额持有人利益时。</w:t>
      </w:r>
    </w:p>
    <w:p>
      <w:pPr>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pPr>
        <w:spacing w:line="360" w:lineRule="auto"/>
        <w:ind w:firstLine="480" w:firstLineChars="200"/>
        <w:rPr>
          <w:bCs/>
          <w:sz w:val="24"/>
        </w:rPr>
      </w:pPr>
      <w:r>
        <w:rPr>
          <w:rFonts w:hint="eastAsia"/>
          <w:bCs/>
          <w:sz w:val="24"/>
        </w:rPr>
        <w:t>6、基金管理人、基金托管人、基金销售机构或登记机构的异常情况导致基金销售系统、基金登记系统或基金会计系统无法正常运行。</w:t>
      </w:r>
    </w:p>
    <w:p>
      <w:pPr>
        <w:spacing w:line="360" w:lineRule="auto"/>
        <w:ind w:firstLine="480" w:firstLineChars="200"/>
        <w:rPr>
          <w:bCs/>
          <w:sz w:val="24"/>
        </w:rPr>
      </w:pPr>
      <w:r>
        <w:rPr>
          <w:rFonts w:hint="eastAsia"/>
          <w:bCs/>
          <w:sz w:val="24"/>
        </w:rPr>
        <w:t>7、基金管理人接受某笔或者某些申购申请有可能导致单一投资者持有基金份额的比例达到或者超过50%，或者变相规避50%集中度的情形时。</w:t>
      </w:r>
    </w:p>
    <w:p>
      <w:pPr>
        <w:spacing w:line="360" w:lineRule="auto"/>
        <w:ind w:firstLine="480" w:firstLineChars="200"/>
        <w:rPr>
          <w:bCs/>
          <w:sz w:val="24"/>
        </w:rPr>
      </w:pPr>
      <w:r>
        <w:rPr>
          <w:rFonts w:hint="eastAsia"/>
          <w:bCs/>
          <w:sz w:val="24"/>
        </w:rPr>
        <w:t>8、某笔或者某些申购申请超过基金管理人设定的基金总规模、单日净申购比例上限、单一投资者单日或单笔申购金额上限的。</w:t>
      </w:r>
    </w:p>
    <w:p>
      <w:pPr>
        <w:spacing w:line="360" w:lineRule="auto"/>
        <w:ind w:firstLine="480" w:firstLineChars="200"/>
        <w:rPr>
          <w:bCs/>
          <w:sz w:val="24"/>
        </w:rPr>
      </w:pPr>
      <w:r>
        <w:rPr>
          <w:rFonts w:hint="eastAsia"/>
          <w:bCs/>
          <w:sz w:val="24"/>
        </w:rPr>
        <w:t>9、当前一估值日基金资产净值50%以上的资产出现无可参考的活跃市场价格且采用估值技术仍导致公允价值存在重大不确定性时，经与基金托管人协商确认后，基金管理人应当暂停接受基金申购申请。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bCs/>
          <w:sz w:val="24"/>
        </w:rPr>
      </w:pPr>
      <w:r>
        <w:rPr>
          <w:rFonts w:hint="eastAsia"/>
          <w:bCs/>
          <w:sz w:val="24"/>
        </w:rPr>
        <w:t>10、</w:t>
      </w:r>
      <w:r>
        <w:rPr>
          <w:bCs/>
          <w:sz w:val="24"/>
        </w:rPr>
        <w:t>法律法规规定或中国证监会认定的其他情形。</w:t>
      </w:r>
    </w:p>
    <w:p>
      <w:pPr>
        <w:spacing w:line="360" w:lineRule="auto"/>
        <w:ind w:firstLine="480" w:firstLineChars="200"/>
        <w:rPr>
          <w:bCs/>
        </w:rPr>
      </w:pPr>
      <w:r>
        <w:rPr>
          <w:bCs/>
          <w:sz w:val="24"/>
        </w:rPr>
        <w:t>发生上述第1、2、</w:t>
      </w:r>
      <w:r>
        <w:rPr>
          <w:rFonts w:hint="eastAsia"/>
          <w:bCs/>
          <w:sz w:val="24"/>
        </w:rPr>
        <w:t>3</w:t>
      </w:r>
      <w:r>
        <w:rPr>
          <w:bCs/>
          <w:sz w:val="24"/>
        </w:rPr>
        <w:t>、5</w:t>
      </w:r>
      <w:r>
        <w:rPr>
          <w:rFonts w:hint="eastAsia"/>
          <w:bCs/>
          <w:sz w:val="24"/>
        </w:rPr>
        <w:t>、6、9、10</w:t>
      </w:r>
      <w:r>
        <w:rPr>
          <w:bCs/>
          <w:sz w:val="24"/>
        </w:rPr>
        <w:t>项暂停申购情形</w:t>
      </w:r>
      <w:r>
        <w:rPr>
          <w:rFonts w:hint="eastAsia"/>
          <w:bCs/>
          <w:sz w:val="24"/>
        </w:rPr>
        <w:t>之一且基金管理人决定暂停接受投资人申购申请</w:t>
      </w:r>
      <w:r>
        <w:rPr>
          <w:bCs/>
          <w:sz w:val="24"/>
        </w:rPr>
        <w:t>时，基金管理人应当根据有关规定在规定媒介上刊登暂停申购公告。如果投资人的申购申请被</w:t>
      </w:r>
      <w:r>
        <w:rPr>
          <w:rFonts w:hint="eastAsia"/>
          <w:bCs/>
          <w:sz w:val="24"/>
        </w:rPr>
        <w:t>全部</w:t>
      </w:r>
      <w:r>
        <w:rPr>
          <w:bCs/>
          <w:sz w:val="24"/>
        </w:rPr>
        <w:t>或部分拒绝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r>
        <w:rPr>
          <w:rFonts w:hint="eastAsia"/>
          <w:bCs/>
          <w:sz w:val="24"/>
        </w:rPr>
        <w:t>，且开放期时间相应顺延</w:t>
      </w:r>
      <w:r>
        <w:rPr>
          <w:bCs/>
          <w:sz w:val="24"/>
        </w:rPr>
        <w:t>。</w:t>
      </w:r>
    </w:p>
    <w:p>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pPr>
        <w:spacing w:line="360" w:lineRule="auto"/>
        <w:ind w:firstLine="480" w:firstLineChars="200"/>
        <w:rPr>
          <w:bCs/>
          <w:sz w:val="24"/>
        </w:rPr>
      </w:pPr>
      <w:r>
        <w:rPr>
          <w:bCs/>
          <w:sz w:val="24"/>
        </w:rPr>
        <w:t>在开放期内</w:t>
      </w:r>
      <w:r>
        <w:rPr>
          <w:rFonts w:hint="eastAsia"/>
          <w:bCs/>
          <w:sz w:val="24"/>
        </w:rPr>
        <w:t>，</w:t>
      </w:r>
      <w:r>
        <w:rPr>
          <w:bCs/>
          <w:sz w:val="24"/>
        </w:rPr>
        <w:t>发生下列情形时，基金管理人可暂停接受投资人的赎回申请或延缓支付赎回款项：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bCs/>
          <w:sz w:val="24"/>
          <w:u w:val="single"/>
        </w:rPr>
      </w:pPr>
      <w:r>
        <w:rPr>
          <w:rFonts w:hint="eastAsia"/>
          <w:bCs/>
          <w:sz w:val="24"/>
        </w:rPr>
        <w:t>2、发生基金合同规定的暂停基金资产估值情况时，基金管理人可暂停接受投资人的赎回申请或延缓支付赎回款项。</w:t>
      </w:r>
    </w:p>
    <w:p>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w:t>
      </w:r>
      <w:bookmarkStart w:id="122" w:name="_Hlt152500890"/>
      <w:r>
        <w:rPr>
          <w:bCs/>
          <w:sz w:val="24"/>
        </w:rPr>
        <w:t>净值。</w:t>
      </w:r>
    </w:p>
    <w:bookmarkEnd w:id="122"/>
    <w:p>
      <w:pPr>
        <w:spacing w:line="360" w:lineRule="auto"/>
        <w:ind w:firstLine="480" w:firstLineChars="200"/>
        <w:rPr>
          <w:bCs/>
          <w:sz w:val="24"/>
        </w:rPr>
      </w:pPr>
      <w:r>
        <w:rPr>
          <w:bCs/>
          <w:sz w:val="24"/>
        </w:rPr>
        <w:t>4</w:t>
      </w:r>
      <w:r>
        <w:rPr>
          <w:rFonts w:hint="eastAsia"/>
          <w:bCs/>
          <w:sz w:val="24"/>
        </w:rPr>
        <w:t>、发生继续接受赎回申请将损害现有基金份额持有人利益的情形时，基金管理人可暂停接受基金份额持有人的赎回申请。</w:t>
      </w:r>
    </w:p>
    <w:p>
      <w:pPr>
        <w:spacing w:line="360" w:lineRule="auto"/>
        <w:ind w:firstLine="480" w:firstLineChars="200"/>
        <w:rPr>
          <w:bCs/>
          <w:sz w:val="24"/>
        </w:rPr>
      </w:pPr>
      <w:r>
        <w:rPr>
          <w:rFonts w:hint="eastAsia"/>
          <w:bCs/>
          <w:sz w:val="24"/>
        </w:rPr>
        <w:t>5、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spacing w:line="360" w:lineRule="auto"/>
        <w:ind w:firstLine="480" w:firstLineChars="200"/>
        <w:rPr>
          <w:bCs/>
          <w:sz w:val="24"/>
        </w:rPr>
      </w:pPr>
      <w:r>
        <w:rPr>
          <w:rFonts w:hint="eastAsia"/>
          <w:bCs/>
          <w:sz w:val="24"/>
        </w:rPr>
        <w:t>6、</w:t>
      </w:r>
      <w:r>
        <w:rPr>
          <w:bCs/>
          <w:sz w:val="24"/>
        </w:rPr>
        <w:t>法律法规规定或中国证监会认定的其他情形。</w:t>
      </w:r>
    </w:p>
    <w:p>
      <w:pPr>
        <w:spacing w:line="360" w:lineRule="auto"/>
        <w:ind w:firstLine="480" w:firstLineChars="200"/>
        <w:rPr>
          <w:bCs/>
        </w:rPr>
      </w:pPr>
      <w:r>
        <w:rPr>
          <w:bCs/>
          <w:sz w:val="24"/>
        </w:rPr>
        <w:t>发生上述情形</w:t>
      </w:r>
      <w:r>
        <w:rPr>
          <w:rFonts w:hint="eastAsia"/>
          <w:bCs/>
          <w:sz w:val="24"/>
        </w:rPr>
        <w:t>之一且基金管理人决定暂停赎回</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r>
        <w:rPr>
          <w:rFonts w:hint="eastAsia"/>
          <w:bCs/>
          <w:sz w:val="24"/>
        </w:rPr>
        <w:t>，且开放期时间相应顺延</w:t>
      </w:r>
      <w:r>
        <w:rPr>
          <w:bCs/>
          <w:sz w:val="24"/>
        </w:rPr>
        <w:t>。</w:t>
      </w:r>
    </w:p>
    <w:p>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若本基金</w:t>
      </w:r>
      <w:r>
        <w:rPr>
          <w:rFonts w:hint="eastAsia"/>
          <w:bCs/>
          <w:sz w:val="24"/>
        </w:rPr>
        <w:t>开放期内</w:t>
      </w:r>
      <w:r>
        <w:rPr>
          <w:bCs/>
          <w:sz w:val="24"/>
        </w:rPr>
        <w:t>单个开放日内的基金份额净赎回申请(赎回申请份额总数加上基金转换中转出申请份额总数后扣除申购申请份额总数及基金转换中转入申请份额总数后的余额)超过前一</w:t>
      </w:r>
      <w:r>
        <w:rPr>
          <w:rFonts w:hint="eastAsia"/>
          <w:bCs/>
          <w:sz w:val="24"/>
        </w:rPr>
        <w:t>工作</w:t>
      </w:r>
      <w:r>
        <w:rPr>
          <w:bCs/>
          <w:sz w:val="24"/>
        </w:rPr>
        <w:t>日的基金总份额的</w:t>
      </w:r>
      <w:r>
        <w:rPr>
          <w:rFonts w:hint="eastAsia"/>
          <w:bCs/>
          <w:sz w:val="24"/>
        </w:rPr>
        <w:t>20%</w:t>
      </w:r>
      <w:r>
        <w:rPr>
          <w:bCs/>
          <w:sz w:val="24"/>
        </w:rPr>
        <w:t>，即认为是发生了巨额赎回。</w:t>
      </w:r>
    </w:p>
    <w:p>
      <w:pPr>
        <w:spacing w:line="360" w:lineRule="auto"/>
        <w:ind w:firstLine="480" w:firstLineChars="200"/>
        <w:rPr>
          <w:bCs/>
          <w:sz w:val="24"/>
        </w:rPr>
      </w:pPr>
      <w:r>
        <w:rPr>
          <w:bCs/>
          <w:sz w:val="24"/>
        </w:rPr>
        <w:t>2</w:t>
      </w:r>
      <w:r>
        <w:rPr>
          <w:rFonts w:hint="eastAsia"/>
          <w:bCs/>
          <w:sz w:val="24"/>
        </w:rPr>
        <w:t>、</w:t>
      </w:r>
      <w:r>
        <w:rPr>
          <w:bCs/>
          <w:sz w:val="24"/>
        </w:rPr>
        <w:t>巨额赎回的处理方式</w:t>
      </w:r>
    </w:p>
    <w:p>
      <w:pPr>
        <w:spacing w:line="360" w:lineRule="auto"/>
        <w:ind w:firstLine="480" w:firstLineChars="200"/>
        <w:rPr>
          <w:bCs/>
          <w:sz w:val="24"/>
        </w:rPr>
      </w:pPr>
      <w:r>
        <w:rPr>
          <w:bCs/>
          <w:sz w:val="24"/>
        </w:rPr>
        <w:t>当基金出现巨额赎回时，基金管理人可以根据基金当时的资产组合状况决定全额赎回或部分延期赎回。</w:t>
      </w:r>
    </w:p>
    <w:p>
      <w:pPr>
        <w:spacing w:line="360" w:lineRule="auto"/>
        <w:ind w:firstLine="480" w:firstLineChars="200"/>
        <w:rPr>
          <w:bCs/>
          <w:sz w:val="24"/>
        </w:rPr>
      </w:pPr>
      <w:r>
        <w:rPr>
          <w:bCs/>
          <w:sz w:val="24"/>
        </w:rPr>
        <w:t>（1）全额赎回：当基金管理人认为有能力支付投资人的全部赎回申请时，按正常赎回程序执行。</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20%，其余赎回申请可以延缓支付，但延缓支付的期限不得超过20个工作日，并在规定媒介上予以公告。</w:t>
      </w:r>
    </w:p>
    <w:p>
      <w:pPr>
        <w:spacing w:line="360" w:lineRule="auto"/>
        <w:ind w:firstLine="480" w:firstLineChars="200"/>
        <w:rPr>
          <w:bCs/>
          <w:sz w:val="24"/>
        </w:rPr>
      </w:pPr>
      <w:r>
        <w:rPr>
          <w:bCs/>
          <w:sz w:val="24"/>
        </w:rPr>
        <w:t>（</w:t>
      </w:r>
      <w:r>
        <w:rPr>
          <w:rFonts w:hint="eastAsia"/>
          <w:bCs/>
          <w:sz w:val="24"/>
        </w:rPr>
        <w:t>3</w:t>
      </w:r>
      <w:r>
        <w:rPr>
          <w:bCs/>
          <w:sz w:val="24"/>
        </w:rPr>
        <w:t>）</w:t>
      </w:r>
      <w:r>
        <w:rPr>
          <w:rFonts w:hint="eastAsia"/>
          <w:bCs/>
          <w:sz w:val="24"/>
        </w:rPr>
        <w:t>部分延期赎回：在开放期内，若本基金发生巨额赎回且单个基金份额持有人的赎回申请超过上一工作日基金总份额的40%，基金管理人有权采取具体措施对其进行赎回申请延期办理。基金管理人有权先行对该单个基金份额持有人超出40%的赎回申请实施延期办理，而对该单个基金份额持有人40%以内（含40%）的赎回申请，基金管理人根据前段“（1）全额赎回”或“（2）延缓支付赎回</w:t>
      </w:r>
      <w:r>
        <w:rPr>
          <w:bCs/>
          <w:sz w:val="24"/>
        </w:rPr>
        <w:t>款项</w:t>
      </w:r>
      <w:r>
        <w:rPr>
          <w:rFonts w:hint="eastAsia"/>
          <w:bCs/>
          <w:sz w:val="24"/>
        </w:rPr>
        <w:t>”的约定方式与其他基金份额持有人的赎回申请一并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如延期办理期限超过开放期的，开放期相应延长，延长的开放期内不办理申购，亦不接受新的赎回申请，即基金管理人仅为原开放期内因提交赎回申请超过前一工作日基金总份额</w:t>
      </w:r>
      <w:r>
        <w:rPr>
          <w:bCs/>
          <w:sz w:val="24"/>
        </w:rPr>
        <w:t>40%</w:t>
      </w:r>
      <w:r>
        <w:rPr>
          <w:rFonts w:hint="eastAsia"/>
          <w:bCs/>
          <w:sz w:val="24"/>
        </w:rPr>
        <w:t>以上而被延期办理赎回的单个基金份额持有人办理赎回业务。</w:t>
      </w:r>
    </w:p>
    <w:p>
      <w:pPr>
        <w:spacing w:line="360" w:lineRule="auto"/>
        <w:ind w:firstLine="480" w:firstLineChars="200"/>
        <w:rPr>
          <w:bCs/>
          <w:sz w:val="24"/>
        </w:rPr>
      </w:pPr>
      <w:r>
        <w:rPr>
          <w:bCs/>
          <w:sz w:val="24"/>
        </w:rPr>
        <w:t>3</w:t>
      </w:r>
      <w:r>
        <w:rPr>
          <w:rFonts w:hint="eastAsia"/>
          <w:bCs/>
          <w:sz w:val="24"/>
        </w:rPr>
        <w:t>、</w:t>
      </w:r>
      <w:r>
        <w:rPr>
          <w:bCs/>
          <w:sz w:val="24"/>
        </w:rPr>
        <w:t>巨额赎回的公告</w:t>
      </w:r>
    </w:p>
    <w:p>
      <w:pPr>
        <w:spacing w:line="360" w:lineRule="auto"/>
        <w:ind w:firstLine="480" w:firstLineChars="200"/>
        <w:rPr>
          <w:bCs/>
        </w:rPr>
      </w:pPr>
      <w:r>
        <w:rPr>
          <w:bCs/>
          <w:sz w:val="24"/>
        </w:rPr>
        <w:t>当发生上述</w:t>
      </w:r>
      <w:r>
        <w:rPr>
          <w:rFonts w:hint="eastAsia"/>
          <w:bCs/>
          <w:sz w:val="24"/>
        </w:rPr>
        <w:t>巨额</w:t>
      </w:r>
      <w:r>
        <w:rPr>
          <w:bCs/>
          <w:sz w:val="24"/>
        </w:rPr>
        <w:t>赎回并延缓支付赎回款项时，基金管理人应当通过邮寄、传真或者招募说明书规定的其他方式在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bCs/>
          <w:sz w:val="24"/>
        </w:rPr>
        <w:t>两日内在规定媒介上刊登公告。</w:t>
      </w:r>
    </w:p>
    <w:p>
      <w:pPr>
        <w:spacing w:line="360" w:lineRule="auto"/>
        <w:ind w:firstLine="480" w:firstLineChars="200"/>
        <w:rPr>
          <w:bCs/>
          <w:sz w:val="24"/>
        </w:rPr>
      </w:pPr>
      <w:r>
        <w:rPr>
          <w:bCs/>
          <w:sz w:val="24"/>
        </w:rPr>
        <w:t>十</w:t>
      </w:r>
      <w:r>
        <w:rPr>
          <w:rFonts w:hint="eastAsia"/>
          <w:bCs/>
          <w:sz w:val="24"/>
        </w:rPr>
        <w:t>、</w:t>
      </w:r>
      <w:r>
        <w:rPr>
          <w:bCs/>
          <w:sz w:val="24"/>
        </w:rPr>
        <w:t>暂停申购或赎回的公告和重新开放申购或赎回的公告</w:t>
      </w:r>
    </w:p>
    <w:p>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pPr>
        <w:spacing w:line="360" w:lineRule="auto"/>
        <w:ind w:firstLine="480" w:firstLineChars="200"/>
        <w:rPr>
          <w:bCs/>
          <w:sz w:val="24"/>
        </w:rPr>
      </w:pPr>
      <w:r>
        <w:rPr>
          <w:bCs/>
          <w:sz w:val="24"/>
        </w:rPr>
        <w:t>2</w:t>
      </w:r>
      <w:r>
        <w:rPr>
          <w:rFonts w:hint="eastAsia"/>
          <w:bCs/>
          <w:sz w:val="24"/>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pPr>
        <w:spacing w:line="360" w:lineRule="auto"/>
        <w:ind w:firstLine="480" w:firstLineChars="200"/>
        <w:rPr>
          <w:bCs/>
          <w:sz w:val="24"/>
        </w:rPr>
      </w:pPr>
      <w:r>
        <w:rPr>
          <w:bCs/>
          <w:sz w:val="24"/>
        </w:rPr>
        <w:t>十一</w:t>
      </w:r>
      <w:r>
        <w:rPr>
          <w:rFonts w:hint="eastAsia"/>
          <w:bCs/>
          <w:sz w:val="24"/>
        </w:rPr>
        <w:t>、</w:t>
      </w:r>
      <w:r>
        <w:rPr>
          <w:bCs/>
          <w:sz w:val="24"/>
        </w:rPr>
        <w:t>基金转换</w:t>
      </w:r>
    </w:p>
    <w:p>
      <w:pPr>
        <w:spacing w:line="360" w:lineRule="auto"/>
        <w:ind w:firstLine="480" w:firstLineChars="200"/>
        <w:rPr>
          <w:bCs/>
          <w:sz w:val="24"/>
        </w:rPr>
      </w:pPr>
      <w:r>
        <w:rPr>
          <w:bCs/>
          <w:sz w:val="24"/>
        </w:rPr>
        <w:t>基金管理人可以根据相关法律法规以及本基金合同的规定决定开办本基金与基金管理人管理的</w:t>
      </w:r>
      <w:r>
        <w:rPr>
          <w:rFonts w:hint="eastAsia"/>
          <w:bCs/>
          <w:sz w:val="24"/>
        </w:rPr>
        <w:t>在同一基金登记机构下的</w:t>
      </w:r>
      <w:r>
        <w:rPr>
          <w:bCs/>
          <w:sz w:val="24"/>
        </w:rPr>
        <w:t>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bCs/>
          <w:sz w:val="24"/>
        </w:rPr>
        <w:t>十二</w:t>
      </w:r>
      <w:r>
        <w:rPr>
          <w:rFonts w:hint="eastAsia"/>
          <w:bCs/>
          <w:sz w:val="24"/>
        </w:rPr>
        <w:t>、</w:t>
      </w:r>
      <w:r>
        <w:rPr>
          <w:bCs/>
          <w:sz w:val="24"/>
        </w:rPr>
        <w:t>基金的非交易过户</w:t>
      </w:r>
    </w:p>
    <w:p>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。无论在上述何种情况下，接受划转的主体必须是依法可以持有本基金基金份额的投资人</w:t>
      </w:r>
      <w:r>
        <w:rPr>
          <w:rFonts w:hint="eastAsia"/>
          <w:bCs/>
          <w:sz w:val="24"/>
        </w:rPr>
        <w:t>，或者按照相关法律法规或国家有权机关要求的方式进行处理</w:t>
      </w:r>
      <w:r>
        <w:rPr>
          <w:bCs/>
          <w:sz w:val="24"/>
        </w:rPr>
        <w:t>。</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十三</w:t>
      </w:r>
      <w:r>
        <w:rPr>
          <w:rFonts w:hint="eastAsia"/>
          <w:bCs/>
          <w:sz w:val="24"/>
        </w:rPr>
        <w:t>、</w:t>
      </w:r>
      <w:r>
        <w:rPr>
          <w:bCs/>
          <w:sz w:val="24"/>
        </w:rPr>
        <w:t>基金的转托管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pPr>
        <w:spacing w:line="360" w:lineRule="auto"/>
        <w:ind w:firstLine="480" w:firstLineChars="200"/>
        <w:rPr>
          <w:bCs/>
          <w:sz w:val="24"/>
        </w:rPr>
      </w:pPr>
      <w:r>
        <w:rPr>
          <w:bCs/>
          <w:sz w:val="24"/>
        </w:rPr>
        <w:t>十四</w:t>
      </w:r>
      <w:r>
        <w:rPr>
          <w:rFonts w:hint="eastAsia"/>
          <w:bCs/>
          <w:sz w:val="24"/>
        </w:rPr>
        <w:t>、</w:t>
      </w:r>
      <w:r>
        <w:rPr>
          <w:bCs/>
          <w:sz w:val="24"/>
        </w:rPr>
        <w:t>定期定额投资计划</w:t>
      </w:r>
    </w:p>
    <w:p>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80" w:firstLineChars="200"/>
        <w:rPr>
          <w:bCs/>
          <w:sz w:val="24"/>
        </w:rPr>
      </w:pPr>
      <w:r>
        <w:rPr>
          <w:bCs/>
          <w:sz w:val="24"/>
        </w:rPr>
        <w:t>十五</w:t>
      </w:r>
      <w:r>
        <w:rPr>
          <w:rFonts w:hint="eastAsia"/>
          <w:bCs/>
          <w:sz w:val="24"/>
        </w:rPr>
        <w:t>、</w:t>
      </w:r>
      <w:r>
        <w:rPr>
          <w:bCs/>
          <w:sz w:val="24"/>
        </w:rPr>
        <w:t>基金份额的冻结</w:t>
      </w:r>
      <w:r>
        <w:rPr>
          <w:rFonts w:hint="eastAsia"/>
          <w:bCs/>
          <w:sz w:val="24"/>
        </w:rPr>
        <w:t>、</w:t>
      </w:r>
      <w:r>
        <w:rPr>
          <w:bCs/>
          <w:sz w:val="24"/>
        </w:rPr>
        <w:t>解冻</w:t>
      </w:r>
      <w:r>
        <w:rPr>
          <w:rFonts w:hint="eastAsia"/>
          <w:bCs/>
          <w:sz w:val="24"/>
        </w:rPr>
        <w:t>与质押</w:t>
      </w:r>
    </w:p>
    <w:p>
      <w:pPr>
        <w:spacing w:line="360" w:lineRule="auto"/>
        <w:ind w:firstLine="480" w:firstLineChars="20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基金账户或基金份额被冻结的，被冻结基金份额所产生的权益一并冻结，被冻结部分份额仍然参与收益分配，法律法规另有规定的除外。</w:t>
      </w:r>
    </w:p>
    <w:p>
      <w:pPr>
        <w:spacing w:line="360" w:lineRule="auto"/>
        <w:ind w:firstLine="480" w:firstLineChars="200"/>
        <w:rPr>
          <w:bCs/>
          <w:sz w:val="24"/>
        </w:rPr>
      </w:pPr>
      <w:r>
        <w:rPr>
          <w:rFonts w:hint="eastAsia"/>
          <w:bCs/>
          <w:sz w:val="24"/>
        </w:rPr>
        <w:t>如相关法律法规允许基金管理人办理基金份额的质押业务或其他基金业务，基金管理人将制定和实施相应的业务规则。</w:t>
      </w:r>
    </w:p>
    <w:p>
      <w:pPr>
        <w:spacing w:line="360" w:lineRule="auto"/>
        <w:ind w:firstLine="480" w:firstLineChars="200"/>
        <w:rPr>
          <w:bCs/>
          <w:sz w:val="24"/>
        </w:rPr>
      </w:pPr>
      <w:r>
        <w:rPr>
          <w:rFonts w:hint="eastAsia"/>
          <w:bCs/>
          <w:sz w:val="24"/>
        </w:rPr>
        <w:t xml:space="preserve">十六、实施侧袋机制期间本基金的申购与赎回 </w:t>
      </w:r>
    </w:p>
    <w:p>
      <w:pPr>
        <w:spacing w:line="360" w:lineRule="auto"/>
        <w:ind w:firstLine="480" w:firstLineChars="200"/>
        <w:rPr>
          <w:bCs/>
          <w:sz w:val="24"/>
        </w:rPr>
      </w:pPr>
      <w:r>
        <w:rPr>
          <w:rFonts w:hint="eastAsia"/>
          <w:bCs/>
          <w:sz w:val="24"/>
        </w:rPr>
        <w:t>本基金实施侧袋机制的，本基金的申购和赎回安排详见招募说明书或相关公告。</w:t>
      </w:r>
    </w:p>
    <w:p>
      <w:pPr>
        <w:spacing w:line="360" w:lineRule="auto"/>
        <w:ind w:firstLine="480" w:firstLineChars="200"/>
        <w:rPr>
          <w:bCs/>
          <w:sz w:val="24"/>
        </w:rPr>
      </w:pPr>
      <w:r>
        <w:rPr>
          <w:rFonts w:hint="eastAsia"/>
          <w:bCs/>
          <w:sz w:val="24"/>
        </w:rPr>
        <w:t>十七</w:t>
      </w:r>
      <w:r>
        <w:rPr>
          <w:bCs/>
          <w:sz w:val="24"/>
        </w:rPr>
        <w:t>、</w:t>
      </w:r>
      <w:r>
        <w:rPr>
          <w:rFonts w:hint="eastAsia"/>
          <w:bCs/>
          <w:sz w:val="24"/>
        </w:rPr>
        <w:t>基金份额的转让</w:t>
      </w:r>
    </w:p>
    <w:p>
      <w:pPr>
        <w:spacing w:line="360" w:lineRule="auto"/>
        <w:ind w:firstLine="480" w:firstLineChars="200"/>
        <w:rPr>
          <w:bCs/>
          <w:sz w:val="24"/>
        </w:rPr>
      </w:pPr>
      <w:r>
        <w:rPr>
          <w:rFonts w:hint="eastAsia"/>
          <w:bCs/>
          <w:sz w:val="24"/>
        </w:rPr>
        <w:t>在法律法规允许且条件具备的情况下，且对基金份额持有人无实质性不利影响的前提下，履行相关程序后，基金管理人可受理基金份额持有人通过中国证监会认可的交易场所或者其他方式进行份额转让的申请并由登记机构办理基金份额的过户登记。</w:t>
      </w:r>
    </w:p>
    <w:p>
      <w:pPr>
        <w:spacing w:line="360" w:lineRule="auto"/>
        <w:ind w:firstLine="480" w:firstLineChars="200"/>
        <w:rPr>
          <w:bCs/>
          <w:sz w:val="24"/>
          <w:shd w:val="pct10" w:color="auto" w:fill="FFFFFF"/>
        </w:rPr>
      </w:pPr>
    </w:p>
    <w:p>
      <w:pPr>
        <w:pStyle w:val="2"/>
        <w:spacing w:before="0" w:after="0"/>
        <w:jc w:val="center"/>
        <w:rPr>
          <w:rFonts w:ascii="Times New Roman"/>
          <w:color w:val="auto"/>
          <w:sz w:val="30"/>
        </w:rPr>
      </w:pPr>
      <w:bookmarkStart w:id="123" w:name="_Toc123051453"/>
      <w:bookmarkStart w:id="124" w:name="_Toc31653"/>
      <w:bookmarkStart w:id="125" w:name="_Toc98560353"/>
      <w:bookmarkStart w:id="126" w:name="_Toc14835"/>
      <w:bookmarkStart w:id="127" w:name="_Toc31644"/>
      <w:bookmarkStart w:id="128" w:name="_Toc141703887"/>
      <w:bookmarkStart w:id="129" w:name="_Toc3601"/>
      <w:bookmarkStart w:id="130" w:name="_Toc12245"/>
      <w:bookmarkStart w:id="131" w:name="_Toc26207"/>
      <w:bookmarkStart w:id="132" w:name="_Toc29251"/>
      <w:bookmarkStart w:id="133" w:name="_Toc123102454"/>
      <w:bookmarkStart w:id="134" w:name="_Toc139991737"/>
      <w:bookmarkStart w:id="135" w:name="_Toc6405"/>
      <w:bookmarkStart w:id="136" w:name="_Toc123112235"/>
      <w:bookmarkStart w:id="137" w:name="_Toc15143"/>
      <w:bookmarkStart w:id="138" w:name="_Toc16859"/>
      <w:bookmarkStart w:id="139" w:name="_Toc31235"/>
      <w:r>
        <w:rPr>
          <w:rFonts w:ascii="Times New Roman"/>
          <w:color w:val="auto"/>
          <w:sz w:val="30"/>
        </w:rPr>
        <w:br w:type="page"/>
      </w:r>
      <w:bookmarkStart w:id="140" w:name="_Toc19173702"/>
      <w:r>
        <w:rPr>
          <w:rFonts w:ascii="Times New Roman"/>
          <w:color w:val="auto"/>
          <w:sz w:val="30"/>
        </w:rPr>
        <w:t>第七部分  基金合同当事人及权利义务</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Start w:id="141" w:name="_Hlt55355235"/>
      <w:bookmarkEnd w:id="141"/>
      <w:bookmarkStart w:id="142" w:name="_Toc523711668"/>
      <w:bookmarkStart w:id="143" w:name="_Toc79392580"/>
      <w:bookmarkStart w:id="144" w:name="_Toc15118234"/>
      <w:bookmarkStart w:id="145" w:name="_Toc57530239"/>
    </w:p>
    <w:p>
      <w:pPr>
        <w:spacing w:line="360" w:lineRule="auto"/>
        <w:ind w:firstLine="480" w:firstLineChars="200"/>
        <w:rPr>
          <w:bCs/>
          <w:sz w:val="24"/>
        </w:rPr>
      </w:pPr>
    </w:p>
    <w:p>
      <w:pPr>
        <w:spacing w:line="360" w:lineRule="auto"/>
        <w:ind w:firstLine="480" w:firstLineChars="200"/>
        <w:rPr>
          <w:bCs/>
          <w:sz w:val="24"/>
        </w:rPr>
      </w:pPr>
      <w:r>
        <w:rPr>
          <w:bCs/>
          <w:sz w:val="24"/>
        </w:rPr>
        <w:t>一、基金</w:t>
      </w:r>
      <w:bookmarkEnd w:id="142"/>
      <w:r>
        <w:rPr>
          <w:bCs/>
          <w:sz w:val="24"/>
        </w:rPr>
        <w:t>管理人</w:t>
      </w:r>
      <w:bookmarkEnd w:id="143"/>
      <w:bookmarkEnd w:id="144"/>
      <w:bookmarkEnd w:id="145"/>
    </w:p>
    <w:p>
      <w:pPr>
        <w:spacing w:line="360" w:lineRule="auto"/>
        <w:ind w:firstLine="480" w:firstLineChars="200"/>
        <w:rPr>
          <w:bCs/>
          <w:sz w:val="24"/>
        </w:rPr>
      </w:pPr>
      <w:bookmarkStart w:id="146" w:name="_Toc15118235"/>
      <w:r>
        <w:rPr>
          <w:bCs/>
          <w:sz w:val="24"/>
        </w:rPr>
        <w:t>（一）</w:t>
      </w:r>
      <w:r>
        <w:rPr>
          <w:bCs/>
          <w:sz w:val="24"/>
        </w:rPr>
        <w:tab/>
      </w:r>
      <w:r>
        <w:rPr>
          <w:bCs/>
          <w:sz w:val="24"/>
        </w:rPr>
        <w:t>基金管理人简况</w:t>
      </w:r>
      <w:bookmarkEnd w:id="146"/>
    </w:p>
    <w:p>
      <w:pPr>
        <w:spacing w:line="360" w:lineRule="auto"/>
        <w:ind w:firstLine="480" w:firstLineChars="200"/>
        <w:rPr>
          <w:bCs/>
          <w:sz w:val="24"/>
        </w:rPr>
      </w:pPr>
      <w:bookmarkStart w:id="147" w:name="_Toc15118236"/>
      <w:bookmarkStart w:id="148" w:name="_Toc15118237"/>
      <w:r>
        <w:rPr>
          <w:rFonts w:hint="eastAsia"/>
          <w:bCs/>
          <w:sz w:val="24"/>
        </w:rPr>
        <w:t>名称：平安基金管理有限公司</w:t>
      </w:r>
    </w:p>
    <w:p>
      <w:pPr>
        <w:spacing w:line="360" w:lineRule="auto"/>
        <w:ind w:firstLine="480" w:firstLineChars="200"/>
        <w:rPr>
          <w:bCs/>
          <w:sz w:val="24"/>
        </w:rPr>
      </w:pPr>
      <w:r>
        <w:rPr>
          <w:rFonts w:hint="eastAsia"/>
          <w:bCs/>
          <w:sz w:val="24"/>
        </w:rPr>
        <w:t>住所：深圳市福田区福田街道益田路</w:t>
      </w:r>
      <w:r>
        <w:rPr>
          <w:bCs/>
          <w:sz w:val="24"/>
        </w:rPr>
        <w:t>5033</w:t>
      </w:r>
      <w:r>
        <w:rPr>
          <w:rFonts w:hint="eastAsia"/>
          <w:bCs/>
          <w:sz w:val="24"/>
        </w:rPr>
        <w:t>号平安金融中心</w:t>
      </w:r>
      <w:r>
        <w:rPr>
          <w:bCs/>
          <w:sz w:val="24"/>
        </w:rPr>
        <w:t>34</w:t>
      </w:r>
      <w:r>
        <w:rPr>
          <w:rFonts w:hint="eastAsia"/>
          <w:bCs/>
          <w:sz w:val="24"/>
        </w:rPr>
        <w:t>层</w:t>
      </w:r>
    </w:p>
    <w:p>
      <w:pPr>
        <w:spacing w:line="360" w:lineRule="auto"/>
        <w:ind w:firstLine="480" w:firstLineChars="200"/>
        <w:rPr>
          <w:bCs/>
          <w:sz w:val="24"/>
        </w:rPr>
      </w:pPr>
      <w:r>
        <w:rPr>
          <w:rFonts w:hint="eastAsia"/>
          <w:bCs/>
          <w:sz w:val="24"/>
        </w:rPr>
        <w:t>法定代表人：罗春风</w:t>
      </w:r>
    </w:p>
    <w:p>
      <w:pPr>
        <w:spacing w:line="360" w:lineRule="auto"/>
        <w:ind w:firstLine="480" w:firstLineChars="200"/>
        <w:rPr>
          <w:bCs/>
          <w:sz w:val="24"/>
        </w:rPr>
      </w:pPr>
      <w:r>
        <w:rPr>
          <w:rFonts w:hint="eastAsia"/>
          <w:bCs/>
          <w:sz w:val="24"/>
        </w:rPr>
        <w:t>设立日期：2011年1月7日</w:t>
      </w:r>
    </w:p>
    <w:p>
      <w:pPr>
        <w:spacing w:line="360" w:lineRule="auto"/>
        <w:ind w:firstLine="480" w:firstLineChars="200"/>
        <w:rPr>
          <w:bCs/>
          <w:sz w:val="24"/>
        </w:rPr>
      </w:pPr>
      <w:r>
        <w:rPr>
          <w:rFonts w:hint="eastAsia"/>
          <w:bCs/>
          <w:sz w:val="24"/>
        </w:rPr>
        <w:t>批准设立机关及批准设立文号：中国证监会证监许可</w:t>
      </w:r>
      <w:r>
        <w:rPr>
          <w:rFonts w:hint="eastAsia" w:ascii="宋体" w:hAnsi="宋体"/>
          <w:bCs/>
          <w:sz w:val="24"/>
        </w:rPr>
        <w:t>【</w:t>
      </w:r>
      <w:r>
        <w:rPr>
          <w:rFonts w:hint="eastAsia"/>
          <w:bCs/>
          <w:sz w:val="24"/>
        </w:rPr>
        <w:t>2010</w:t>
      </w:r>
      <w:r>
        <w:rPr>
          <w:rFonts w:hint="eastAsia" w:ascii="宋体" w:hAnsi="宋体"/>
          <w:bCs/>
          <w:sz w:val="24"/>
        </w:rPr>
        <w:t>】</w:t>
      </w:r>
      <w:r>
        <w:rPr>
          <w:rFonts w:hint="eastAsia"/>
          <w:bCs/>
          <w:sz w:val="24"/>
        </w:rPr>
        <w:t>1917号</w:t>
      </w:r>
    </w:p>
    <w:p>
      <w:pPr>
        <w:spacing w:line="360" w:lineRule="auto"/>
        <w:ind w:firstLine="480" w:firstLineChars="200"/>
        <w:rPr>
          <w:bCs/>
          <w:sz w:val="24"/>
        </w:rPr>
      </w:pPr>
      <w:r>
        <w:rPr>
          <w:rFonts w:hint="eastAsia"/>
          <w:bCs/>
          <w:sz w:val="24"/>
        </w:rPr>
        <w:t>组织形式：有限责任公司（中外合资）</w:t>
      </w:r>
    </w:p>
    <w:p>
      <w:pPr>
        <w:spacing w:line="360" w:lineRule="auto"/>
        <w:ind w:firstLine="480" w:firstLineChars="200"/>
        <w:rPr>
          <w:bCs/>
          <w:sz w:val="24"/>
        </w:rPr>
      </w:pPr>
      <w:r>
        <w:rPr>
          <w:rFonts w:hint="eastAsia"/>
          <w:bCs/>
          <w:sz w:val="24"/>
        </w:rPr>
        <w:t>注册资本：人民币130,000万元</w:t>
      </w:r>
    </w:p>
    <w:p>
      <w:pPr>
        <w:spacing w:line="360" w:lineRule="auto"/>
        <w:ind w:firstLine="480" w:firstLineChars="200"/>
        <w:rPr>
          <w:bCs/>
          <w:sz w:val="24"/>
        </w:rPr>
      </w:pPr>
      <w:r>
        <w:rPr>
          <w:rFonts w:hint="eastAsia"/>
          <w:bCs/>
          <w:sz w:val="24"/>
        </w:rPr>
        <w:t>存续期限：持续经营</w:t>
      </w:r>
    </w:p>
    <w:p>
      <w:pPr>
        <w:spacing w:line="360" w:lineRule="auto"/>
        <w:ind w:firstLine="480" w:firstLineChars="200"/>
        <w:rPr>
          <w:bCs/>
          <w:sz w:val="24"/>
        </w:rPr>
      </w:pPr>
      <w:r>
        <w:rPr>
          <w:rFonts w:hint="eastAsia"/>
          <w:bCs/>
          <w:sz w:val="24"/>
        </w:rPr>
        <w:t>联系电话：0755-22627627</w:t>
      </w:r>
      <w:r>
        <w:rPr>
          <w:rFonts w:hint="eastAsia"/>
          <w:bCs/>
          <w:sz w:val="24"/>
        </w:rPr>
        <w:tab/>
      </w:r>
    </w:p>
    <w:bookmarkEnd w:id="147"/>
    <w:p>
      <w:pPr>
        <w:spacing w:line="360" w:lineRule="auto"/>
        <w:ind w:firstLine="480" w:firstLineChars="200"/>
        <w:rPr>
          <w:bCs/>
          <w:sz w:val="24"/>
        </w:rPr>
      </w:pPr>
      <w:r>
        <w:rPr>
          <w:bCs/>
          <w:sz w:val="24"/>
        </w:rPr>
        <w:t>（二）</w:t>
      </w:r>
      <w:r>
        <w:rPr>
          <w:bCs/>
          <w:sz w:val="24"/>
        </w:rPr>
        <w:tab/>
      </w:r>
      <w:r>
        <w:rPr>
          <w:bCs/>
          <w:sz w:val="24"/>
        </w:rPr>
        <w:t>基金管理人的权利与义务</w:t>
      </w:r>
      <w:bookmarkEnd w:id="148"/>
      <w:r>
        <w:rPr>
          <w:rFonts w:hint="eastAsia"/>
          <w:bCs/>
          <w:sz w:val="24"/>
        </w:rPr>
        <w:t xml:space="preserve"> </w:t>
      </w:r>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资金</w:t>
      </w:r>
      <w:r>
        <w:rPr>
          <w:bCs/>
          <w:sz w:val="24"/>
        </w:rPr>
        <w:t>；</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sz w:val="24"/>
          <w:shd w:val="pct10" w:color="auto" w:fill="FFFFFF"/>
        </w:rPr>
      </w:pPr>
      <w:r>
        <w:rPr>
          <w:bCs/>
          <w:sz w:val="24"/>
        </w:rPr>
        <w:t>（5）</w:t>
      </w:r>
      <w:bookmarkStart w:id="149" w:name="_Hlt88896155"/>
      <w:r>
        <w:rPr>
          <w:rFonts w:hint="eastAsia"/>
          <w:bCs/>
          <w:sz w:val="24"/>
        </w:rPr>
        <w:t>按照规定</w:t>
      </w:r>
      <w:r>
        <w:rPr>
          <w:bCs/>
          <w:sz w:val="24"/>
        </w:rPr>
        <w:t>召集</w:t>
      </w:r>
      <w:bookmarkEnd w:id="149"/>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 xml:space="preserve">（8）选择、更换基金销售机构，对基金销售机构的相关行为进行监督和处理； </w:t>
      </w:r>
    </w:p>
    <w:p>
      <w:pPr>
        <w:spacing w:line="440" w:lineRule="atLeast"/>
        <w:ind w:firstLine="480" w:firstLineChars="200"/>
        <w:rPr>
          <w:bCs/>
          <w:sz w:val="24"/>
        </w:rPr>
      </w:pPr>
      <w:r>
        <w:rPr>
          <w:bCs/>
          <w:sz w:val="24"/>
        </w:rPr>
        <w:t xml:space="preserve">（9）担任或委托其他符合条件的机构担任基金登记机构办理基金登记业务并获得《基金合同》规定的费用； </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和转换</w:t>
      </w:r>
      <w:r>
        <w:rPr>
          <w:bCs/>
          <w:sz w:val="24"/>
        </w:rPr>
        <w:t xml:space="preserve">申请； </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 xml:space="preserve">（13）在法律法规允许的前提下，为基金的利益依法为基金进行融资； </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w:t>
      </w:r>
      <w:r>
        <w:rPr>
          <w:rFonts w:hint="eastAsia"/>
          <w:bCs/>
          <w:sz w:val="24"/>
        </w:rPr>
        <w:t>、期货</w:t>
      </w:r>
      <w:r>
        <w:rPr>
          <w:bCs/>
          <w:sz w:val="24"/>
        </w:rPr>
        <w:t>经纪商或其他为基金提供服务的外部机构；</w:t>
      </w:r>
      <w:r>
        <w:rPr>
          <w:bCs/>
          <w:sz w:val="24"/>
        </w:rPr>
        <w:tab/>
      </w:r>
    </w:p>
    <w:p>
      <w:pPr>
        <w:spacing w:line="440" w:lineRule="atLeast"/>
        <w:ind w:firstLine="480" w:firstLineChars="200"/>
        <w:rPr>
          <w:bCs/>
          <w:sz w:val="24"/>
        </w:rPr>
      </w:pPr>
      <w:r>
        <w:rPr>
          <w:bCs/>
          <w:sz w:val="24"/>
        </w:rPr>
        <w:t>（16）在符合有关法律、法规的前提下，制订和调整有关基金认购</w:t>
      </w:r>
      <w:r>
        <w:rPr>
          <w:rFonts w:hint="eastAsia"/>
          <w:bCs/>
          <w:sz w:val="24"/>
        </w:rPr>
        <w:t>、</w:t>
      </w:r>
      <w:r>
        <w:rPr>
          <w:bCs/>
          <w:sz w:val="24"/>
        </w:rPr>
        <w:t>申购、赎回、转换</w:t>
      </w:r>
      <w:r>
        <w:rPr>
          <w:rFonts w:hint="eastAsia"/>
          <w:bCs/>
          <w:sz w:val="24"/>
        </w:rPr>
        <w:t>、定期定额投资、转托管</w:t>
      </w:r>
      <w:r>
        <w:rPr>
          <w:bCs/>
          <w:sz w:val="24"/>
        </w:rPr>
        <w:t>和非交易过户</w:t>
      </w:r>
      <w:r>
        <w:rPr>
          <w:rFonts w:hint="eastAsia"/>
          <w:bCs/>
          <w:sz w:val="24"/>
        </w:rPr>
        <w:t>等</w:t>
      </w:r>
      <w:r>
        <w:rPr>
          <w:bCs/>
          <w:sz w:val="24"/>
        </w:rPr>
        <w:t>的业务规则；</w:t>
      </w:r>
    </w:p>
    <w:p>
      <w:pPr>
        <w:spacing w:line="440" w:lineRule="atLeast"/>
        <w:ind w:firstLine="480" w:firstLineChars="200"/>
        <w:rPr>
          <w:bCs/>
          <w:sz w:val="24"/>
        </w:rPr>
      </w:pPr>
      <w:r>
        <w:rPr>
          <w:bCs/>
          <w:sz w:val="24"/>
        </w:rPr>
        <w:t>（17）法律法规及中国证监会规定的和《基金合同》约定的其他权利。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50" w:name="_Toc523711669"/>
      <w:r>
        <w:rPr>
          <w:bCs/>
          <w:sz w:val="24"/>
        </w:rPr>
        <w:t>（1）依法募集</w:t>
      </w:r>
      <w:r>
        <w:rPr>
          <w:rFonts w:hint="eastAsia"/>
          <w:bCs/>
          <w:sz w:val="24"/>
        </w:rPr>
        <w:t>资金</w:t>
      </w:r>
      <w:r>
        <w:rPr>
          <w:bCs/>
          <w:sz w:val="24"/>
        </w:rPr>
        <w:t>，办理或者委托经中国证监会认定的其他机构代为办理基金份额的发售</w:t>
      </w:r>
      <w:r>
        <w:rPr>
          <w:rFonts w:hint="eastAsia"/>
          <w:bCs/>
          <w:sz w:val="24"/>
        </w:rPr>
        <w:t>、</w:t>
      </w:r>
      <w:r>
        <w:rPr>
          <w:bCs/>
          <w:sz w:val="24"/>
        </w:rPr>
        <w:t>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51" w:name="_Hlt88897298"/>
      <w:bookmarkEnd w:id="151"/>
    </w:p>
    <w:p>
      <w:pPr>
        <w:spacing w:line="360" w:lineRule="auto"/>
        <w:ind w:firstLine="480" w:firstLineChars="200"/>
        <w:rPr>
          <w:bCs/>
          <w:sz w:val="24"/>
        </w:rPr>
      </w:pPr>
      <w:r>
        <w:rPr>
          <w:bCs/>
          <w:sz w:val="24"/>
        </w:rPr>
        <w:t>（7）</w:t>
      </w:r>
      <w:r>
        <w:rPr>
          <w:bCs/>
          <w:sz w:val="24"/>
        </w:rPr>
        <w:tab/>
      </w:r>
      <w:r>
        <w:rPr>
          <w:bCs/>
          <w:sz w:val="24"/>
        </w:rPr>
        <w:t>依法接受基金托管人的监督；</w:t>
      </w:r>
    </w:p>
    <w:p>
      <w:pPr>
        <w:spacing w:line="360" w:lineRule="auto"/>
        <w:ind w:firstLine="480" w:firstLineChars="200"/>
        <w:rPr>
          <w:bCs/>
          <w:sz w:val="24"/>
        </w:rPr>
      </w:pPr>
      <w:r>
        <w:rPr>
          <w:bCs/>
          <w:sz w:val="24"/>
        </w:rPr>
        <w:t>（8）采取适当合理的措施使计算基金份额认购</w:t>
      </w:r>
      <w:r>
        <w:rPr>
          <w:rFonts w:hint="eastAsia"/>
          <w:bCs/>
          <w:sz w:val="24"/>
        </w:rPr>
        <w:t>、</w:t>
      </w:r>
      <w:r>
        <w:rPr>
          <w:bCs/>
          <w:sz w:val="24"/>
        </w:rPr>
        <w:t>申购、赎回和注销价格的方法符合《基金合同》等法律文件的规定，按有关规定计算并公告</w:t>
      </w:r>
      <w:r>
        <w:rPr>
          <w:rFonts w:hint="eastAsia"/>
          <w:bCs/>
          <w:sz w:val="24"/>
        </w:rPr>
        <w:t>基金净值信息</w:t>
      </w:r>
      <w:r>
        <w:rPr>
          <w:bCs/>
          <w:sz w:val="24"/>
        </w:rPr>
        <w:t>，确定基金份额申购、赎回的价格；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w:t>
      </w:r>
      <w:r>
        <w:rPr>
          <w:rFonts w:hint="eastAsia"/>
          <w:bCs/>
          <w:sz w:val="24"/>
        </w:rPr>
        <w:t>报告</w:t>
      </w:r>
      <w:r>
        <w:rPr>
          <w:bCs/>
          <w:sz w:val="24"/>
        </w:rPr>
        <w:t>、</w:t>
      </w:r>
      <w:r>
        <w:rPr>
          <w:rFonts w:hint="eastAsia"/>
          <w:bCs/>
          <w:sz w:val="24"/>
        </w:rPr>
        <w:t>中期报告</w:t>
      </w:r>
      <w:r>
        <w:rPr>
          <w:bCs/>
          <w:sz w:val="24"/>
        </w:rPr>
        <w:t>和年度报告；</w:t>
      </w:r>
    </w:p>
    <w:p>
      <w:pPr>
        <w:spacing w:line="360" w:lineRule="auto"/>
        <w:ind w:firstLine="480" w:firstLineChars="200"/>
        <w:rPr>
          <w:bCs/>
          <w:sz w:val="24"/>
        </w:rPr>
      </w:pPr>
      <w:r>
        <w:rPr>
          <w:bCs/>
          <w:sz w:val="24"/>
        </w:rPr>
        <w:t>（11）</w:t>
      </w:r>
      <w:r>
        <w:rPr>
          <w:bCs/>
          <w:sz w:val="24"/>
        </w:rPr>
        <w:tab/>
      </w:r>
      <w:r>
        <w:rPr>
          <w:bCs/>
          <w:sz w:val="24"/>
        </w:rPr>
        <w:t>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w:t>
      </w:r>
      <w:r>
        <w:rPr>
          <w:rFonts w:hint="eastAsia"/>
          <w:bCs/>
          <w:sz w:val="24"/>
        </w:rPr>
        <w:t>基金管理人在募集期间未能达到基金的备案条件，《基金合同》不能生效，基金管理人承担全部募集费用，将已募集资金并加计银行同期活期存款利息在基金募集期结束后30日内退还基金认购人；</w:t>
      </w:r>
    </w:p>
    <w:p>
      <w:pPr>
        <w:spacing w:line="360" w:lineRule="auto"/>
        <w:ind w:firstLine="480" w:firstLineChars="200"/>
        <w:rPr>
          <w:bCs/>
          <w:sz w:val="24"/>
        </w:rPr>
      </w:pPr>
      <w:r>
        <w:rPr>
          <w:rFonts w:hint="eastAsia"/>
          <w:bCs/>
          <w:sz w:val="24"/>
        </w:rPr>
        <w:t>（2</w:t>
      </w:r>
      <w:r>
        <w:rPr>
          <w:bCs/>
          <w:sz w:val="24"/>
        </w:rPr>
        <w:t>5</w:t>
      </w:r>
      <w:r>
        <w:rPr>
          <w:rFonts w:hint="eastAsia"/>
          <w:bCs/>
          <w:sz w:val="24"/>
        </w:rPr>
        <w:t>）</w:t>
      </w:r>
      <w:r>
        <w:rPr>
          <w:bCs/>
          <w:sz w:val="24"/>
        </w:rPr>
        <w:t>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bookmarkStart w:id="152" w:name="_Toc79392581"/>
      <w:bookmarkStart w:id="153" w:name="_Toc15118238"/>
      <w:bookmarkStart w:id="154" w:name="_Toc57530240"/>
      <w:r>
        <w:rPr>
          <w:bCs/>
          <w:sz w:val="24"/>
        </w:rPr>
        <w:t>二、基金托管人</w:t>
      </w:r>
      <w:bookmarkEnd w:id="150"/>
      <w:bookmarkEnd w:id="152"/>
      <w:bookmarkEnd w:id="153"/>
      <w:bookmarkEnd w:id="154"/>
    </w:p>
    <w:p>
      <w:pPr>
        <w:spacing w:line="360" w:lineRule="auto"/>
        <w:ind w:firstLine="480" w:firstLineChars="200"/>
        <w:rPr>
          <w:bCs/>
          <w:sz w:val="24"/>
        </w:rPr>
      </w:pPr>
      <w:bookmarkStart w:id="155" w:name="_Toc15118239"/>
      <w:r>
        <w:rPr>
          <w:bCs/>
          <w:sz w:val="24"/>
        </w:rPr>
        <w:t>（一）</w:t>
      </w:r>
      <w:r>
        <w:rPr>
          <w:bCs/>
          <w:sz w:val="24"/>
        </w:rPr>
        <w:tab/>
      </w:r>
      <w:r>
        <w:rPr>
          <w:bCs/>
          <w:sz w:val="24"/>
        </w:rPr>
        <w:t>基金托管人简况</w:t>
      </w:r>
      <w:bookmarkEnd w:id="155"/>
    </w:p>
    <w:p>
      <w:pPr>
        <w:spacing w:line="360" w:lineRule="auto"/>
        <w:ind w:firstLine="480" w:firstLineChars="200"/>
        <w:rPr>
          <w:rFonts w:ascii="宋体" w:hAnsi="宋体"/>
          <w:sz w:val="24"/>
        </w:rPr>
      </w:pPr>
      <w:r>
        <w:rPr>
          <w:rFonts w:hint="eastAsia" w:ascii="宋体" w:hAnsi="宋体"/>
          <w:sz w:val="24"/>
        </w:rPr>
        <w:t>名称：中国邮政储蓄银行股份有限公司</w:t>
      </w:r>
    </w:p>
    <w:p>
      <w:pPr>
        <w:spacing w:line="360" w:lineRule="auto"/>
        <w:ind w:firstLine="480" w:firstLineChars="200"/>
        <w:rPr>
          <w:rFonts w:ascii="宋体" w:hAnsi="宋体"/>
          <w:sz w:val="24"/>
        </w:rPr>
      </w:pPr>
      <w:r>
        <w:rPr>
          <w:rFonts w:hint="eastAsia" w:ascii="宋体" w:hAnsi="宋体"/>
          <w:sz w:val="24"/>
        </w:rPr>
        <w:t>住所：北京市西城区金融大街3号</w:t>
      </w:r>
    </w:p>
    <w:p>
      <w:pPr>
        <w:spacing w:line="360" w:lineRule="auto"/>
        <w:ind w:firstLine="480" w:firstLineChars="200"/>
        <w:rPr>
          <w:rFonts w:ascii="宋体" w:hAnsi="宋体"/>
          <w:sz w:val="24"/>
        </w:rPr>
      </w:pPr>
      <w:r>
        <w:rPr>
          <w:rFonts w:hint="eastAsia" w:ascii="宋体" w:hAnsi="宋体"/>
          <w:sz w:val="24"/>
        </w:rPr>
        <w:t>办公地址：北京市西城区金融大街3号A座</w:t>
      </w:r>
    </w:p>
    <w:p>
      <w:pPr>
        <w:spacing w:line="360" w:lineRule="auto"/>
        <w:ind w:firstLine="480" w:firstLineChars="200"/>
        <w:rPr>
          <w:rFonts w:ascii="宋体" w:hAnsi="宋体"/>
          <w:sz w:val="24"/>
        </w:rPr>
      </w:pPr>
      <w:r>
        <w:rPr>
          <w:rFonts w:hint="eastAsia" w:ascii="宋体" w:hAnsi="宋体"/>
          <w:sz w:val="24"/>
        </w:rPr>
        <w:t>邮政编码：100808</w:t>
      </w:r>
    </w:p>
    <w:p>
      <w:pPr>
        <w:spacing w:line="360" w:lineRule="auto"/>
        <w:ind w:firstLine="480" w:firstLineChars="200"/>
        <w:rPr>
          <w:rFonts w:ascii="宋体" w:hAnsi="宋体"/>
          <w:sz w:val="24"/>
        </w:rPr>
      </w:pPr>
      <w:r>
        <w:rPr>
          <w:rFonts w:hint="eastAsia" w:ascii="宋体" w:hAnsi="宋体"/>
          <w:sz w:val="24"/>
        </w:rPr>
        <w:t>法定代表人：张金良</w:t>
      </w:r>
    </w:p>
    <w:p>
      <w:pPr>
        <w:spacing w:line="360" w:lineRule="auto"/>
        <w:ind w:firstLine="480" w:firstLineChars="200"/>
        <w:rPr>
          <w:rFonts w:ascii="宋体" w:hAnsi="宋体"/>
          <w:sz w:val="24"/>
        </w:rPr>
      </w:pPr>
      <w:r>
        <w:rPr>
          <w:rFonts w:hint="eastAsia" w:ascii="宋体" w:hAnsi="宋体"/>
          <w:sz w:val="24"/>
        </w:rPr>
        <w:t>成立日期：2007年3月6日</w:t>
      </w:r>
    </w:p>
    <w:p>
      <w:pPr>
        <w:spacing w:line="360" w:lineRule="auto"/>
        <w:ind w:firstLine="480" w:firstLineChars="200"/>
        <w:rPr>
          <w:rFonts w:ascii="宋体" w:hAnsi="宋体"/>
          <w:sz w:val="24"/>
        </w:rPr>
      </w:pPr>
      <w:r>
        <w:rPr>
          <w:rFonts w:hint="eastAsia" w:ascii="宋体" w:hAnsi="宋体"/>
          <w:sz w:val="24"/>
        </w:rPr>
        <w:t>基金托管业务批准文号：证监许可[2009]673号</w:t>
      </w:r>
    </w:p>
    <w:p>
      <w:pPr>
        <w:spacing w:line="360" w:lineRule="auto"/>
        <w:ind w:firstLine="480" w:firstLineChars="200"/>
        <w:rPr>
          <w:rFonts w:ascii="宋体" w:hAnsi="宋体"/>
          <w:sz w:val="24"/>
        </w:rPr>
      </w:pPr>
      <w:r>
        <w:rPr>
          <w:rFonts w:hint="eastAsia" w:ascii="宋体" w:hAnsi="宋体"/>
          <w:sz w:val="24"/>
        </w:rPr>
        <w:t>组织形式：股份有限公司</w:t>
      </w:r>
    </w:p>
    <w:p>
      <w:pPr>
        <w:spacing w:line="360" w:lineRule="auto"/>
        <w:ind w:firstLine="480" w:firstLineChars="200"/>
        <w:rPr>
          <w:rFonts w:ascii="宋体" w:hAnsi="宋体"/>
          <w:sz w:val="24"/>
        </w:rPr>
      </w:pPr>
      <w:r>
        <w:rPr>
          <w:rFonts w:hint="eastAsia" w:ascii="宋体" w:hAnsi="宋体"/>
          <w:sz w:val="24"/>
        </w:rPr>
        <w:t>注册资本：810.31亿元人民币</w:t>
      </w:r>
    </w:p>
    <w:p>
      <w:pPr>
        <w:spacing w:line="360" w:lineRule="auto"/>
        <w:ind w:firstLine="480" w:firstLineChars="200"/>
        <w:rPr>
          <w:rFonts w:ascii="宋体" w:hAnsi="宋体"/>
          <w:sz w:val="24"/>
        </w:rPr>
      </w:pPr>
      <w:r>
        <w:rPr>
          <w:rFonts w:hint="eastAsia" w:ascii="宋体" w:hAnsi="宋体"/>
          <w:sz w:val="24"/>
        </w:rPr>
        <w:t>存续期间：持续经营</w:t>
      </w:r>
    </w:p>
    <w:p>
      <w:pPr>
        <w:spacing w:line="360" w:lineRule="auto"/>
        <w:ind w:firstLine="480" w:firstLineChars="200"/>
        <w:rPr>
          <w:bCs/>
          <w:sz w:val="24"/>
        </w:rPr>
      </w:pPr>
      <w:bookmarkStart w:id="156" w:name="_Toc15118240"/>
      <w:r>
        <w:rPr>
          <w:bCs/>
          <w:sz w:val="24"/>
        </w:rPr>
        <w:t>（二）</w:t>
      </w:r>
      <w:r>
        <w:rPr>
          <w:bCs/>
          <w:sz w:val="24"/>
        </w:rPr>
        <w:tab/>
      </w:r>
      <w:r>
        <w:rPr>
          <w:bCs/>
          <w:sz w:val="24"/>
        </w:rPr>
        <w:t>基金托管人的权利与义务</w:t>
      </w:r>
      <w:bookmarkEnd w:id="156"/>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和</w:t>
      </w:r>
      <w:r>
        <w:rPr>
          <w:bCs/>
          <w:sz w:val="24"/>
        </w:rPr>
        <w:t>证券账户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（8）复核、审查基金管理人计算的基金资产净值、基金份额净值</w:t>
      </w:r>
      <w:r>
        <w:rPr>
          <w:rFonts w:hint="eastAsia"/>
          <w:bCs/>
          <w:sz w:val="24"/>
        </w:rPr>
        <w:t>、</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rPr>
        <w:t>15</w:t>
      </w:r>
      <w:r>
        <w:rPr>
          <w:bCs/>
          <w:sz w:val="24"/>
        </w:rPr>
        <w:t>年以上；</w:t>
      </w:r>
    </w:p>
    <w:p>
      <w:pPr>
        <w:spacing w:line="360" w:lineRule="auto"/>
        <w:ind w:firstLine="480" w:firstLineChars="200"/>
        <w:rPr>
          <w:bCs/>
          <w:sz w:val="24"/>
        </w:rPr>
      </w:pPr>
      <w:r>
        <w:rPr>
          <w:bCs/>
          <w:sz w:val="24"/>
        </w:rPr>
        <w:t>（12）建立并保存基金份额持有人名册；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bookmarkStart w:id="157" w:name="_Hlt88825668"/>
      <w:bookmarkEnd w:id="157"/>
      <w:r>
        <w:rPr>
          <w:bCs/>
          <w:sz w:val="24"/>
        </w:rPr>
        <w:t>；</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（22）</w:t>
      </w:r>
      <w:bookmarkStart w:id="158" w:name="_Toc523711670"/>
      <w:r>
        <w:rPr>
          <w:bCs/>
          <w:sz w:val="24"/>
        </w:rPr>
        <w:t>法律法规及中国证监会规定的和《基金合同》约定的其他义务。</w:t>
      </w:r>
    </w:p>
    <w:bookmarkEnd w:id="158"/>
    <w:p>
      <w:pPr>
        <w:spacing w:line="360" w:lineRule="auto"/>
        <w:ind w:firstLine="480" w:firstLineChars="200"/>
        <w:rPr>
          <w:bCs/>
          <w:sz w:val="24"/>
        </w:rPr>
      </w:pPr>
      <w:bookmarkStart w:id="159" w:name="_Toc79392582"/>
      <w:r>
        <w:rPr>
          <w:bCs/>
          <w:sz w:val="24"/>
        </w:rPr>
        <w:t>三、基金份额持有人</w:t>
      </w:r>
      <w:bookmarkEnd w:id="159"/>
    </w:p>
    <w:p>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60" w:name="_Hlt88899909"/>
      <w:bookmarkEnd w:id="160"/>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同一</w:t>
      </w:r>
      <w:r>
        <w:rPr>
          <w:bCs/>
          <w:sz w:val="24"/>
        </w:rPr>
        <w:t>类别的每份基金份额具有同等的合法权益。</w:t>
      </w:r>
      <w:r>
        <w:rPr>
          <w:rFonts w:hint="eastAsia"/>
          <w:bCs/>
          <w:sz w:val="24"/>
        </w:rPr>
        <w:t>本基金A类基金份额与C类基金份额由于基金份额净值的不同，基金收益分配的金额以及参与清算后的剩余基金财产分配的数量将可能有所不同。</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61" w:name="_Hlt88825574"/>
      <w:bookmarkEnd w:id="161"/>
    </w:p>
    <w:p>
      <w:pPr>
        <w:spacing w:line="360" w:lineRule="auto"/>
        <w:ind w:firstLine="480" w:firstLineChars="200"/>
        <w:rPr>
          <w:bCs/>
          <w:sz w:val="24"/>
        </w:rPr>
      </w:pPr>
      <w:r>
        <w:rPr>
          <w:bCs/>
          <w:sz w:val="24"/>
        </w:rPr>
        <w:t>（3）依法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交纳</w:t>
      </w:r>
      <w:r>
        <w:rPr>
          <w:bCs/>
          <w:sz w:val="24"/>
        </w:rPr>
        <w:t>基金</w:t>
      </w:r>
      <w:r>
        <w:rPr>
          <w:rFonts w:hint="eastAsia"/>
          <w:bCs/>
          <w:sz w:val="24"/>
        </w:rPr>
        <w:t>认购、</w:t>
      </w:r>
      <w:r>
        <w:rPr>
          <w:bCs/>
          <w:sz w:val="24"/>
        </w:rPr>
        <w:t>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bCs/>
          <w:sz w:val="24"/>
        </w:rPr>
        <w:t>（9）法律法规及中国证监会规定的和《基金合同》约定的其他义务。</w:t>
      </w:r>
    </w:p>
    <w:p>
      <w:pPr>
        <w:pStyle w:val="2"/>
        <w:spacing w:before="0" w:after="0"/>
        <w:jc w:val="center"/>
        <w:rPr>
          <w:rFonts w:ascii="Times New Roman"/>
          <w:color w:val="auto"/>
          <w:sz w:val="30"/>
        </w:rPr>
      </w:pPr>
      <w:r>
        <w:rPr>
          <w:rFonts w:ascii="Times New Roman"/>
          <w:b w:val="0"/>
          <w:bCs/>
          <w:color w:val="auto"/>
        </w:rPr>
        <w:br w:type="page"/>
      </w:r>
      <w:bookmarkStart w:id="162" w:name="_Toc10650"/>
      <w:bookmarkStart w:id="163" w:name="_Toc123112236"/>
      <w:bookmarkStart w:id="164" w:name="_Toc139991738"/>
      <w:bookmarkStart w:id="165" w:name="_Toc9706"/>
      <w:bookmarkStart w:id="166" w:name="_Toc123051454"/>
      <w:bookmarkStart w:id="167" w:name="_Toc19173703"/>
      <w:bookmarkStart w:id="168" w:name="_Toc7058"/>
      <w:bookmarkStart w:id="169" w:name="_Toc11030"/>
      <w:bookmarkStart w:id="170" w:name="_Toc20768"/>
      <w:bookmarkStart w:id="171" w:name="_Toc141703888"/>
      <w:bookmarkStart w:id="172" w:name="_Toc6447"/>
      <w:bookmarkStart w:id="173" w:name="_Toc79392583"/>
      <w:bookmarkStart w:id="174" w:name="_Toc25783"/>
      <w:bookmarkStart w:id="175" w:name="_Toc18567"/>
      <w:bookmarkStart w:id="176" w:name="_Toc4559"/>
      <w:bookmarkStart w:id="177" w:name="_Toc123102455"/>
      <w:bookmarkStart w:id="178" w:name="_Toc3771"/>
      <w:bookmarkStart w:id="179" w:name="_Toc3321"/>
      <w:bookmarkStart w:id="180" w:name="_Toc98560354"/>
      <w:r>
        <w:rPr>
          <w:rFonts w:ascii="Times New Roman"/>
          <w:color w:val="auto"/>
          <w:sz w:val="30"/>
        </w:rPr>
        <w:t>第八部分  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本基金份额持有人大会暂未设立日常机构。在本基金存续期内，根据本基金的运作需要，基金份额持有人大会可以增设日常机构，日常机构的设立与运作应当根据相关法律法规和中国证监会的规定进行。</w:t>
      </w:r>
    </w:p>
    <w:p>
      <w:pPr>
        <w:spacing w:line="360" w:lineRule="auto"/>
        <w:ind w:firstLine="480" w:firstLineChars="200"/>
        <w:rPr>
          <w:bCs/>
          <w:sz w:val="24"/>
        </w:rPr>
      </w:pPr>
      <w:bookmarkStart w:id="181" w:name="_Toc57530243"/>
      <w:bookmarkStart w:id="182" w:name="_Toc15641220"/>
      <w:bookmarkStart w:id="183" w:name="_Toc79392584"/>
      <w:r>
        <w:rPr>
          <w:bCs/>
          <w:sz w:val="24"/>
        </w:rPr>
        <w:t>一、召开事由</w:t>
      </w:r>
      <w:bookmarkEnd w:id="181"/>
      <w:bookmarkEnd w:id="182"/>
      <w:bookmarkEnd w:id="183"/>
    </w:p>
    <w:p>
      <w:pPr>
        <w:spacing w:line="360" w:lineRule="auto"/>
        <w:ind w:firstLine="480" w:firstLineChars="200"/>
        <w:rPr>
          <w:bCs/>
          <w:sz w:val="24"/>
        </w:rPr>
      </w:pPr>
      <w:r>
        <w:rPr>
          <w:bCs/>
          <w:sz w:val="24"/>
        </w:rPr>
        <w:t>1、当出现或需要决定下列事由之一的，应当召开基金份额持有人大会：</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（1）调低</w:t>
      </w:r>
      <w:r>
        <w:rPr>
          <w:rFonts w:hint="eastAsia"/>
          <w:bCs/>
          <w:sz w:val="24"/>
        </w:rPr>
        <w:t>其他应由基金承担的费用</w:t>
      </w:r>
      <w:r>
        <w:rPr>
          <w:bCs/>
          <w:sz w:val="24"/>
        </w:rPr>
        <w:t>；</w:t>
      </w:r>
    </w:p>
    <w:p>
      <w:pPr>
        <w:spacing w:line="360" w:lineRule="auto"/>
        <w:ind w:firstLine="480" w:firstLineChars="200"/>
        <w:rPr>
          <w:bCs/>
          <w:sz w:val="24"/>
        </w:rPr>
      </w:pPr>
      <w:r>
        <w:rPr>
          <w:bCs/>
          <w:sz w:val="24"/>
        </w:rPr>
        <w:t>（2）法律法规要求增加的基金费用的收取；</w:t>
      </w:r>
    </w:p>
    <w:p>
      <w:pPr>
        <w:spacing w:line="360" w:lineRule="auto"/>
        <w:ind w:firstLine="480" w:firstLineChars="200"/>
        <w:rPr>
          <w:bCs/>
          <w:sz w:val="24"/>
        </w:rPr>
      </w:pPr>
      <w:r>
        <w:rPr>
          <w:bCs/>
          <w:sz w:val="24"/>
        </w:rPr>
        <w:t>（3）调整本基金的申购费率、调低赎回费率</w:t>
      </w:r>
      <w:r>
        <w:rPr>
          <w:rFonts w:hint="eastAsia"/>
          <w:bCs/>
          <w:sz w:val="24"/>
        </w:rPr>
        <w:t>、销售服务费率、调整收费方式或增加新的基金份额类别、对基金份额分类办法及规则进行调整</w:t>
      </w:r>
      <w:r>
        <w:rPr>
          <w:bCs/>
          <w:sz w:val="24"/>
        </w:rPr>
        <w:t>；</w:t>
      </w:r>
    </w:p>
    <w:p>
      <w:pPr>
        <w:spacing w:line="360" w:lineRule="auto"/>
        <w:ind w:firstLine="480" w:firstLineChars="200"/>
        <w:rPr>
          <w:bCs/>
          <w:sz w:val="24"/>
        </w:rPr>
      </w:pPr>
      <w:r>
        <w:rPr>
          <w:bCs/>
          <w:sz w:val="24"/>
        </w:rPr>
        <w:t>（4）因相应的法律法规发生变动而应当对《基金合同》进行修改；</w:t>
      </w:r>
    </w:p>
    <w:p>
      <w:pPr>
        <w:spacing w:line="360" w:lineRule="auto"/>
        <w:ind w:firstLine="480" w:firstLineChars="200"/>
        <w:rPr>
          <w:bCs/>
          <w:sz w:val="24"/>
        </w:rPr>
      </w:pPr>
      <w:r>
        <w:rPr>
          <w:bCs/>
          <w:sz w:val="24"/>
        </w:rPr>
        <w:t>（5）对《基金合同》的修改对基金份额持有人利益无实质性不利影响或修改不涉及《基金合同》当事人权利义务关系发生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bCs/>
          <w:sz w:val="24"/>
        </w:rPr>
        <w:t>（6）</w:t>
      </w:r>
      <w:r>
        <w:rPr>
          <w:rFonts w:hint="eastAsia"/>
          <w:bCs/>
          <w:sz w:val="24"/>
        </w:rPr>
        <w:t>基金管理人、登记机构、基金销售机构调整有关认购、申购、赎回、转换、非交易过户、转托管等业务规则；</w:t>
      </w:r>
    </w:p>
    <w:p>
      <w:pPr>
        <w:spacing w:line="360" w:lineRule="auto"/>
        <w:ind w:firstLine="480" w:firstLineChars="200"/>
        <w:rPr>
          <w:bCs/>
          <w:sz w:val="24"/>
        </w:rPr>
      </w:pPr>
      <w:r>
        <w:rPr>
          <w:rFonts w:hint="eastAsia"/>
          <w:bCs/>
          <w:sz w:val="24"/>
        </w:rPr>
        <w:t>（7）基金推出新业务或服务；</w:t>
      </w:r>
    </w:p>
    <w:p>
      <w:pPr>
        <w:spacing w:line="360" w:lineRule="auto"/>
        <w:ind w:firstLine="480" w:firstLineChars="200"/>
        <w:rPr>
          <w:bCs/>
          <w:sz w:val="24"/>
        </w:rPr>
      </w:pPr>
      <w:r>
        <w:rPr>
          <w:bCs/>
          <w:sz w:val="24"/>
        </w:rPr>
        <w:t>（</w:t>
      </w:r>
      <w:r>
        <w:rPr>
          <w:rFonts w:hint="eastAsia"/>
          <w:bCs/>
          <w:sz w:val="24"/>
        </w:rPr>
        <w:t>8</w:t>
      </w:r>
      <w:r>
        <w:rPr>
          <w:bCs/>
          <w:sz w:val="24"/>
        </w:rPr>
        <w:t>）按照法律法规和《基金合同》规定不需召开基金份额持有人大会的其他情形。</w:t>
      </w:r>
    </w:p>
    <w:p>
      <w:pPr>
        <w:spacing w:line="360" w:lineRule="auto"/>
        <w:ind w:firstLine="480" w:firstLineChars="200"/>
        <w:rPr>
          <w:bCs/>
          <w:sz w:val="24"/>
        </w:rPr>
      </w:pPr>
      <w:bookmarkStart w:id="184" w:name="_Toc79392585"/>
      <w:bookmarkStart w:id="185" w:name="_Toc57530244"/>
      <w:bookmarkStart w:id="186" w:name="_Toc15641221"/>
      <w:r>
        <w:rPr>
          <w:bCs/>
          <w:sz w:val="24"/>
        </w:rPr>
        <w:t>二、会议召集人及召集方式</w:t>
      </w:r>
      <w:bookmarkEnd w:id="184"/>
      <w:bookmarkEnd w:id="185"/>
      <w:bookmarkEnd w:id="186"/>
    </w:p>
    <w:p>
      <w:pPr>
        <w:spacing w:line="360" w:lineRule="auto"/>
        <w:ind w:firstLine="480" w:firstLineChars="200"/>
        <w:rPr>
          <w:bCs/>
          <w:sz w:val="24"/>
        </w:rPr>
      </w:pPr>
      <w:bookmarkStart w:id="187" w:name="_Toc15641222"/>
      <w:bookmarkStart w:id="188" w:name="_Toc57530245"/>
      <w:r>
        <w:rPr>
          <w:bCs/>
          <w:sz w:val="24"/>
        </w:rPr>
        <w:t>1、除法律法规规定或《基金合同》另有约定外，基金份额持有人大会由基金管理人召集</w:t>
      </w:r>
      <w:r>
        <w:rPr>
          <w:rFonts w:hint="eastAsia"/>
          <w:bCs/>
          <w:sz w:val="24"/>
        </w:rPr>
        <w:t>。</w:t>
      </w:r>
    </w:p>
    <w:p>
      <w:pPr>
        <w:spacing w:line="360" w:lineRule="auto"/>
        <w:ind w:firstLine="480" w:firstLineChars="200"/>
        <w:rPr>
          <w:bCs/>
          <w:sz w:val="24"/>
        </w:rPr>
      </w:pPr>
      <w:r>
        <w:rPr>
          <w:rFonts w:hint="eastAsia"/>
          <w:bCs/>
          <w:sz w:val="24"/>
        </w:rPr>
        <w:t>2</w:t>
      </w:r>
      <w:r>
        <w:rPr>
          <w:bCs/>
          <w:sz w:val="24"/>
        </w:rPr>
        <w:t>、基金管理人未按规定召集或不能</w:t>
      </w:r>
      <w:r>
        <w:rPr>
          <w:rFonts w:hint="eastAsia"/>
          <w:bCs/>
          <w:sz w:val="24"/>
        </w:rPr>
        <w:t>召开</w:t>
      </w:r>
      <w:r>
        <w:rPr>
          <w:bCs/>
          <w:sz w:val="24"/>
        </w:rPr>
        <w:t>时，由基金托管人召集</w:t>
      </w:r>
      <w:r>
        <w:rPr>
          <w:rFonts w:hint="eastAsia"/>
          <w:bCs/>
          <w:sz w:val="24"/>
        </w:rPr>
        <w:t>。</w:t>
      </w:r>
    </w:p>
    <w:p>
      <w:pPr>
        <w:spacing w:line="360" w:lineRule="auto"/>
        <w:ind w:firstLine="480" w:firstLineChars="200"/>
        <w:rPr>
          <w:bCs/>
          <w:sz w:val="24"/>
        </w:rPr>
      </w:pPr>
      <w:r>
        <w:rPr>
          <w:rFonts w:hint="eastAsia"/>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rFonts w:hint="eastAsia"/>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rFonts w:hint="eastAsia"/>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rFonts w:hint="eastAsia"/>
          <w:bCs/>
          <w:sz w:val="24"/>
        </w:rPr>
        <w:t>6</w:t>
      </w:r>
      <w:r>
        <w:rPr>
          <w:bCs/>
          <w:sz w:val="24"/>
        </w:rPr>
        <w:t>、基金份额持有人会议的召集人负责选择确定开会时间、地点、方式和权益登记日。</w:t>
      </w:r>
    </w:p>
    <w:p>
      <w:pPr>
        <w:spacing w:line="360" w:lineRule="auto"/>
        <w:ind w:firstLine="480" w:firstLineChars="200"/>
        <w:rPr>
          <w:bCs/>
          <w:sz w:val="24"/>
        </w:rPr>
      </w:pPr>
      <w:bookmarkStart w:id="189" w:name="_Toc79392586"/>
      <w:r>
        <w:rPr>
          <w:bCs/>
          <w:sz w:val="24"/>
        </w:rPr>
        <w:t>三、召开基金份额持有人大会的通知时间、通知内容、通知方式</w:t>
      </w:r>
      <w:bookmarkEnd w:id="187"/>
      <w:bookmarkEnd w:id="188"/>
      <w:bookmarkEnd w:id="189"/>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bookmarkStart w:id="190" w:name="_Toc57530246"/>
      <w:bookmarkStart w:id="191" w:name="_Toc15641223"/>
      <w:bookmarkStart w:id="192" w:name="_Toc79392587"/>
      <w:r>
        <w:rPr>
          <w:bCs/>
          <w:sz w:val="24"/>
        </w:rPr>
        <w:t>四、基金份额持有人出席会议的方式</w:t>
      </w:r>
      <w:bookmarkEnd w:id="190"/>
      <w:bookmarkEnd w:id="191"/>
      <w:bookmarkEnd w:id="192"/>
    </w:p>
    <w:p>
      <w:pPr>
        <w:spacing w:line="360" w:lineRule="auto"/>
        <w:ind w:firstLine="480" w:firstLineChars="200"/>
        <w:rPr>
          <w:bCs/>
          <w:sz w:val="24"/>
        </w:rPr>
      </w:pPr>
      <w:r>
        <w:rPr>
          <w:bCs/>
          <w:sz w:val="24"/>
        </w:rPr>
        <w:t>基金份额持有人大会可通过现场开会方式或通讯开会方式</w:t>
      </w:r>
      <w:r>
        <w:rPr>
          <w:rFonts w:hint="eastAsia"/>
          <w:bCs/>
          <w:sz w:val="24"/>
        </w:rPr>
        <w:t>及法律法规、中国证监会允许的其他方式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或大会公告载明的其他方式</w:t>
      </w:r>
      <w:r>
        <w:rPr>
          <w:bCs/>
          <w:sz w:val="24"/>
        </w:rPr>
        <w:t>在表决截</w:t>
      </w:r>
      <w:r>
        <w:rPr>
          <w:rFonts w:hint="eastAsia"/>
          <w:bCs/>
          <w:sz w:val="24"/>
        </w:rPr>
        <w:t>止</w:t>
      </w:r>
      <w:r>
        <w:rPr>
          <w:bCs/>
          <w:sz w:val="24"/>
        </w:rPr>
        <w:t>日以前送达至召集人指定的地址。通讯开会应以书面方式</w:t>
      </w:r>
      <w:r>
        <w:rPr>
          <w:rFonts w:hint="eastAsia"/>
          <w:bCs/>
          <w:sz w:val="24"/>
        </w:rPr>
        <w:t>或大会公告载明的其他方式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r>
        <w:rPr>
          <w:rFonts w:hint="eastAsia"/>
          <w:bCs/>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pPr>
        <w:spacing w:line="360" w:lineRule="auto"/>
        <w:ind w:firstLine="480" w:firstLineChars="200"/>
        <w:rPr>
          <w:bCs/>
          <w:sz w:val="24"/>
        </w:rPr>
      </w:pPr>
      <w:r>
        <w:rPr>
          <w:rFonts w:hint="eastAsia"/>
          <w:bCs/>
          <w:sz w:val="24"/>
        </w:rPr>
        <w:t>4、基金份额持有人授权他人代为出席会议并表决的，授权方式可以采用书面、网络、电话、短信或其他方式，具体方式在会议通知中列明。</w:t>
      </w:r>
    </w:p>
    <w:p>
      <w:pPr>
        <w:spacing w:line="360" w:lineRule="auto"/>
        <w:ind w:firstLine="480" w:firstLineChars="200"/>
        <w:rPr>
          <w:bCs/>
          <w:sz w:val="24"/>
        </w:rPr>
      </w:pPr>
      <w:bookmarkStart w:id="193" w:name="_Toc15641224"/>
      <w:bookmarkStart w:id="194" w:name="_Toc57530247"/>
      <w:bookmarkStart w:id="195" w:name="_Toc79392588"/>
      <w:r>
        <w:rPr>
          <w:bCs/>
          <w:sz w:val="24"/>
        </w:rPr>
        <w:t>五、议事内容与程序</w:t>
      </w:r>
      <w:bookmarkEnd w:id="193"/>
      <w:bookmarkEnd w:id="194"/>
      <w:bookmarkEnd w:id="195"/>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0%以上（含</w:t>
      </w:r>
      <w:r>
        <w:rPr>
          <w:rFonts w:hint="eastAsia"/>
          <w:bCs/>
          <w:sz w:val="24"/>
        </w:rPr>
        <w:t>5</w:t>
      </w:r>
      <w:r>
        <w:rPr>
          <w:bCs/>
          <w:sz w:val="24"/>
        </w:rPr>
        <w:t>0%）选举产生一名基金份额持有人作为该次基金份额持有人大会的主持人。基金管理人和基金托管人拒不出席或主持基金份额持有人大会，不影响基金份额持有人大会作出的决议的效力。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bookmarkStart w:id="196" w:name="_Toc57530248"/>
      <w:bookmarkStart w:id="197" w:name="_Toc15641225"/>
      <w:bookmarkStart w:id="198" w:name="_Toc79392589"/>
      <w:r>
        <w:rPr>
          <w:bCs/>
          <w:sz w:val="24"/>
        </w:rPr>
        <w:t>六、表决</w:t>
      </w:r>
      <w:bookmarkEnd w:id="196"/>
      <w:bookmarkEnd w:id="197"/>
      <w:bookmarkEnd w:id="198"/>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w:t>
      </w:r>
      <w:r>
        <w:rPr>
          <w:bCs/>
          <w:sz w:val="24"/>
        </w:rPr>
        <w:t>基金与其他基金合并以特别决议通过方为有效。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199" w:name="_Toc15641226"/>
      <w:bookmarkStart w:id="200" w:name="_Toc57530249"/>
      <w:bookmarkStart w:id="201" w:name="_Toc79392590"/>
      <w:r>
        <w:rPr>
          <w:bCs/>
          <w:sz w:val="24"/>
        </w:rPr>
        <w:t>七、计票</w:t>
      </w:r>
      <w:bookmarkEnd w:id="199"/>
      <w:bookmarkEnd w:id="200"/>
      <w:bookmarkEnd w:id="201"/>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w:t>
      </w:r>
      <w:r>
        <w:rPr>
          <w:rFonts w:hint="eastAsia"/>
          <w:bCs/>
          <w:sz w:val="24"/>
        </w:rPr>
        <w:t>怀疑</w:t>
      </w:r>
      <w:r>
        <w:rPr>
          <w:bCs/>
          <w:sz w:val="24"/>
        </w:rPr>
        <w:t>，可以在宣布表决结果后立即对所投票数要求进行重新清点。监票人应当进行重新清点，重新清点以一次为限。重新清点后，大会主持人应当当场公布重新清点结果。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15641227"/>
      <w:bookmarkStart w:id="203" w:name="_Toc79392591"/>
      <w:bookmarkStart w:id="204" w:name="_Toc57530250"/>
      <w:r>
        <w:rPr>
          <w:bCs/>
          <w:sz w:val="24"/>
        </w:rPr>
        <w:t>。基金管理人或基金托管人拒派代表对表决意见的计票进行监督的，不影响计票和表决结果。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bookmarkEnd w:id="202"/>
      <w:bookmarkEnd w:id="203"/>
      <w:bookmarkEnd w:id="204"/>
    </w:p>
    <w:p>
      <w:pPr>
        <w:spacing w:line="360" w:lineRule="auto"/>
        <w:ind w:firstLine="480" w:firstLineChars="200"/>
        <w:rPr>
          <w:sz w:val="24"/>
          <w:shd w:val="pct10" w:color="auto" w:fill="FFFFFF"/>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5" w:name="_Hlt88820702"/>
      <w:bookmarkEnd w:id="205"/>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r>
        <w:rPr>
          <w:rFonts w:hint="eastAsia"/>
          <w:bCs/>
          <w:sz w:val="24"/>
        </w:rPr>
        <w:t xml:space="preserve">九、实施侧袋机制期间基金份额持有人大会的特殊约定 </w:t>
      </w:r>
    </w:p>
    <w:p>
      <w:pPr>
        <w:spacing w:line="360" w:lineRule="auto"/>
        <w:ind w:firstLine="480" w:firstLineChars="200"/>
        <w:rPr>
          <w:bCs/>
          <w:sz w:val="24"/>
        </w:rPr>
      </w:pPr>
      <w:r>
        <w:rPr>
          <w:rFonts w:hint="eastAsia"/>
          <w:bCs/>
          <w:sz w:val="24"/>
        </w:rPr>
        <w:t xml:space="preserve">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 </w:t>
      </w:r>
    </w:p>
    <w:p>
      <w:pPr>
        <w:spacing w:line="360" w:lineRule="auto"/>
        <w:ind w:firstLine="480" w:firstLineChars="200"/>
        <w:rPr>
          <w:bCs/>
          <w:sz w:val="24"/>
        </w:rPr>
      </w:pPr>
      <w:r>
        <w:rPr>
          <w:rFonts w:hint="eastAsia"/>
          <w:bCs/>
          <w:sz w:val="24"/>
        </w:rPr>
        <w:t xml:space="preserve">1、基金份额持有人行使提议权、召集权、提名权所需单独或合计代表相关基金份额10%以上（含10%）； </w:t>
      </w:r>
    </w:p>
    <w:p>
      <w:pPr>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bCs/>
          <w:sz w:val="24"/>
        </w:rPr>
      </w:pPr>
      <w:r>
        <w:rPr>
          <w:rFonts w:hint="eastAsia"/>
          <w:bCs/>
          <w:sz w:val="24"/>
        </w:rPr>
        <w:t xml:space="preserve">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 </w:t>
      </w:r>
    </w:p>
    <w:p>
      <w:pPr>
        <w:spacing w:line="360" w:lineRule="auto"/>
        <w:ind w:firstLine="480" w:firstLineChars="200"/>
        <w:rPr>
          <w:bCs/>
          <w:sz w:val="24"/>
        </w:rPr>
      </w:pPr>
      <w:r>
        <w:rPr>
          <w:rFonts w:hint="eastAsia"/>
          <w:bCs/>
          <w:sz w:val="24"/>
        </w:rPr>
        <w:t xml:space="preserve">5、现场开会由出席大会的基金份额持有人和代理人所持表决权的50%以上（含50%）选举产生一名基金份额持有人作为该次基金份额持有人大会的主持人； </w:t>
      </w:r>
    </w:p>
    <w:p>
      <w:pPr>
        <w:spacing w:line="360" w:lineRule="auto"/>
        <w:ind w:firstLine="480" w:firstLineChars="200"/>
        <w:rPr>
          <w:bCs/>
          <w:sz w:val="24"/>
        </w:rPr>
      </w:pPr>
      <w:r>
        <w:rPr>
          <w:rFonts w:hint="eastAsia"/>
          <w:bCs/>
          <w:sz w:val="24"/>
        </w:rPr>
        <w:t xml:space="preserve">6、一般决议须经参加大会的基金份额持有人或其代理人所持表决权的二分之一以上（含二分之一）通过； </w:t>
      </w:r>
    </w:p>
    <w:p>
      <w:pPr>
        <w:spacing w:line="360" w:lineRule="auto"/>
        <w:ind w:firstLine="480" w:firstLineChars="200"/>
        <w:rPr>
          <w:bCs/>
          <w:sz w:val="24"/>
        </w:rPr>
      </w:pPr>
      <w:r>
        <w:rPr>
          <w:rFonts w:hint="eastAsia"/>
          <w:bCs/>
          <w:sz w:val="24"/>
        </w:rPr>
        <w:t xml:space="preserve">7、特别决议应当经参加大会的基金份额持有人或其代理人所持表决权的三分之二以上（含三分之二）通过。 </w:t>
      </w:r>
    </w:p>
    <w:p>
      <w:pPr>
        <w:spacing w:line="360" w:lineRule="auto"/>
        <w:ind w:firstLine="480" w:firstLineChars="200"/>
        <w:rPr>
          <w:bCs/>
          <w:sz w:val="24"/>
        </w:rPr>
      </w:pPr>
      <w:r>
        <w:rPr>
          <w:rFonts w:hint="eastAsia"/>
          <w:bCs/>
          <w:sz w:val="24"/>
        </w:rPr>
        <w:t>同一主侧袋账户内的每份基金份额具有平等的表决权。</w:t>
      </w:r>
    </w:p>
    <w:p>
      <w:pPr>
        <w:spacing w:line="360" w:lineRule="auto"/>
        <w:ind w:firstLine="480" w:firstLineChars="200"/>
        <w:rPr>
          <w:bCs/>
          <w:sz w:val="24"/>
        </w:rPr>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pPr>
        <w:spacing w:line="360" w:lineRule="auto"/>
        <w:ind w:firstLine="480" w:firstLineChars="200"/>
        <w:rPr>
          <w:bCs/>
          <w:sz w:val="24"/>
        </w:rPr>
      </w:pPr>
    </w:p>
    <w:p>
      <w:pPr>
        <w:pStyle w:val="2"/>
        <w:jc w:val="center"/>
        <w:rPr>
          <w:rFonts w:ascii="Times New Roman"/>
          <w:color w:val="auto"/>
        </w:rPr>
      </w:pPr>
      <w:bookmarkStart w:id="206" w:name="_Toc18769"/>
      <w:bookmarkStart w:id="207" w:name="_Toc3963"/>
      <w:bookmarkStart w:id="208" w:name="_Toc1745"/>
      <w:r>
        <w:rPr>
          <w:rFonts w:ascii="Times New Roman"/>
          <w:b w:val="0"/>
          <w:bCs/>
          <w:color w:val="auto"/>
        </w:rPr>
        <w:br w:type="page"/>
      </w:r>
      <w:bookmarkStart w:id="209" w:name="_Toc3572"/>
      <w:bookmarkStart w:id="210" w:name="_Toc123112237"/>
      <w:bookmarkStart w:id="211" w:name="_Toc139991739"/>
      <w:bookmarkStart w:id="212" w:name="_Toc31821"/>
      <w:bookmarkStart w:id="213" w:name="_Toc21735"/>
      <w:bookmarkStart w:id="214" w:name="_Toc19173704"/>
      <w:bookmarkStart w:id="215" w:name="_Toc18206"/>
      <w:bookmarkStart w:id="216" w:name="_Toc725"/>
      <w:bookmarkStart w:id="217" w:name="_Toc123051455"/>
      <w:bookmarkStart w:id="218" w:name="_Toc141703889"/>
      <w:bookmarkStart w:id="219" w:name="_Toc16164"/>
      <w:bookmarkStart w:id="220" w:name="_Toc3080"/>
      <w:bookmarkStart w:id="221" w:name="_Toc98560355"/>
      <w:bookmarkStart w:id="222" w:name="_Toc10398"/>
      <w:bookmarkStart w:id="223" w:name="_Toc123102456"/>
      <w:r>
        <w:rPr>
          <w:rFonts w:ascii="Times New Roman"/>
          <w:color w:val="auto"/>
          <w:sz w:val="30"/>
        </w:rPr>
        <w:t>第九部分  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autoSpaceDE w:val="0"/>
        <w:autoSpaceDN w:val="0"/>
        <w:spacing w:line="360" w:lineRule="auto"/>
        <w:textAlignment w:val="bottom"/>
        <w:rPr>
          <w:bCs/>
          <w:sz w:val="24"/>
        </w:rPr>
      </w:pPr>
      <w:bookmarkStart w:id="224" w:name="_Toc15118245"/>
      <w:bookmarkStart w:id="225" w:name="_Toc79392593"/>
      <w:bookmarkStart w:id="226" w:name="_Toc57530252"/>
    </w:p>
    <w:p>
      <w:pPr>
        <w:spacing w:line="360" w:lineRule="auto"/>
        <w:ind w:firstLine="480" w:firstLineChars="200"/>
        <w:rPr>
          <w:bCs/>
          <w:sz w:val="24"/>
        </w:rPr>
      </w:pPr>
      <w:r>
        <w:rPr>
          <w:bCs/>
          <w:sz w:val="24"/>
        </w:rPr>
        <w:t>一、基金管理人和基金托管人职责终止的情形</w:t>
      </w:r>
      <w:bookmarkEnd w:id="224"/>
      <w:bookmarkEnd w:id="225"/>
      <w:bookmarkEnd w:id="226"/>
    </w:p>
    <w:p>
      <w:pPr>
        <w:spacing w:line="360" w:lineRule="auto"/>
        <w:ind w:firstLine="480" w:firstLineChars="200"/>
        <w:rPr>
          <w:bCs/>
          <w:sz w:val="24"/>
        </w:rPr>
      </w:pPr>
      <w:bookmarkStart w:id="227" w:name="_Toc22005971"/>
      <w:r>
        <w:rPr>
          <w:bCs/>
          <w:sz w:val="24"/>
        </w:rPr>
        <w:t>（一）</w:t>
      </w:r>
      <w:r>
        <w:rPr>
          <w:bCs/>
          <w:sz w:val="24"/>
        </w:rPr>
        <w:tab/>
      </w:r>
      <w:r>
        <w:rPr>
          <w:bCs/>
          <w:sz w:val="24"/>
        </w:rPr>
        <w:t>基金管理人职责终止的情形</w:t>
      </w:r>
      <w:bookmarkEnd w:id="227"/>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28" w:name="_Toc22005972"/>
      <w:r>
        <w:rPr>
          <w:bCs/>
          <w:sz w:val="24"/>
        </w:rPr>
        <w:t>（二）</w:t>
      </w:r>
      <w:r>
        <w:rPr>
          <w:bCs/>
          <w:sz w:val="24"/>
        </w:rPr>
        <w:tab/>
      </w:r>
      <w:r>
        <w:rPr>
          <w:bCs/>
          <w:sz w:val="24"/>
        </w:rPr>
        <w:t>基金托管人职责终止的情形</w:t>
      </w:r>
      <w:bookmarkEnd w:id="228"/>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29" w:name="_Toc57530253"/>
      <w:bookmarkStart w:id="230" w:name="_Toc79392594"/>
      <w:bookmarkStart w:id="231" w:name="_Toc15118246"/>
      <w:r>
        <w:rPr>
          <w:bCs/>
          <w:sz w:val="24"/>
        </w:rPr>
        <w:t>二、基金管理人和基金托管人的更换程序</w:t>
      </w:r>
      <w:bookmarkEnd w:id="229"/>
      <w:bookmarkEnd w:id="230"/>
      <w:bookmarkEnd w:id="231"/>
    </w:p>
    <w:p>
      <w:pPr>
        <w:spacing w:line="360" w:lineRule="auto"/>
        <w:ind w:firstLine="480" w:firstLineChars="200"/>
        <w:rPr>
          <w:bCs/>
          <w:sz w:val="24"/>
        </w:rPr>
      </w:pPr>
      <w:bookmarkStart w:id="232" w:name="_Toc22005974"/>
      <w:r>
        <w:rPr>
          <w:bCs/>
          <w:sz w:val="24"/>
        </w:rPr>
        <w:t>（一）</w:t>
      </w:r>
      <w:r>
        <w:rPr>
          <w:bCs/>
          <w:sz w:val="24"/>
        </w:rPr>
        <w:tab/>
      </w:r>
      <w:r>
        <w:rPr>
          <w:bCs/>
          <w:sz w:val="24"/>
        </w:rPr>
        <w:t>基金管理人的更换程序</w:t>
      </w:r>
      <w:bookmarkEnd w:id="232"/>
    </w:p>
    <w:p>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w:t>
      </w:r>
      <w:r>
        <w:rPr>
          <w:rFonts w:hint="eastAsia"/>
          <w:bCs/>
          <w:sz w:val="24"/>
        </w:rPr>
        <w:t>更换</w:t>
      </w:r>
      <w:r>
        <w:rPr>
          <w:bCs/>
          <w:sz w:val="24"/>
        </w:rPr>
        <w:t>基金管理人的决议</w:t>
      </w:r>
      <w:r>
        <w:rPr>
          <w:rFonts w:hint="eastAsia"/>
          <w:bCs/>
          <w:sz w:val="24"/>
        </w:rPr>
        <w:t>须报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5、公告：基金管理人更换后，由基金托管人在</w:t>
      </w:r>
      <w:r>
        <w:rPr>
          <w:rFonts w:hint="eastAsia"/>
          <w:bCs/>
          <w:sz w:val="24"/>
        </w:rPr>
        <w:t>更换基金管理人的基金份额持有人大会决议生效</w:t>
      </w:r>
      <w:r>
        <w:rPr>
          <w:bCs/>
          <w:sz w:val="24"/>
        </w:rPr>
        <w:t>后2日内在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pPr>
        <w:spacing w:line="360" w:lineRule="auto"/>
        <w:ind w:firstLine="480" w:firstLineChars="200"/>
        <w:rPr>
          <w:bCs/>
          <w:sz w:val="24"/>
        </w:rPr>
      </w:pPr>
      <w:bookmarkStart w:id="233" w:name="_Toc22005975"/>
      <w:r>
        <w:rPr>
          <w:bCs/>
          <w:sz w:val="24"/>
        </w:rPr>
        <w:t>（二）</w:t>
      </w:r>
      <w:r>
        <w:rPr>
          <w:bCs/>
          <w:sz w:val="24"/>
        </w:rPr>
        <w:tab/>
      </w:r>
      <w:r>
        <w:rPr>
          <w:bCs/>
          <w:sz w:val="24"/>
        </w:rPr>
        <w:t>基金托管人的更换程序</w:t>
      </w:r>
      <w:bookmarkEnd w:id="233"/>
    </w:p>
    <w:p>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：基金份额持有人大会更换基金托管人的决议</w:t>
      </w:r>
      <w:r>
        <w:rPr>
          <w:rFonts w:hint="eastAsia"/>
          <w:bCs/>
          <w:sz w:val="24"/>
        </w:rPr>
        <w:t>须报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 xml:space="preserve">与基金管理人核对基金资产总值； </w:t>
      </w:r>
    </w:p>
    <w:p>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pPr>
        <w:spacing w:line="360" w:lineRule="auto"/>
        <w:ind w:firstLine="480" w:firstLineChars="200"/>
        <w:rPr>
          <w:bCs/>
          <w:sz w:val="24"/>
        </w:rPr>
      </w:pPr>
      <w:bookmarkStart w:id="234" w:name="_Toc1357"/>
      <w:r>
        <w:rPr>
          <w:bCs/>
          <w:sz w:val="24"/>
        </w:rPr>
        <w:t>（三）基金管理人与基金托管人同时更换的条件和程序</w:t>
      </w:r>
      <w:bookmarkEnd w:id="234"/>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后2日内在规定媒介上联合公告。</w:t>
      </w:r>
    </w:p>
    <w:p>
      <w:pPr>
        <w:spacing w:line="360" w:lineRule="auto"/>
        <w:ind w:firstLine="480" w:firstLineChars="200"/>
        <w:rPr>
          <w:bCs/>
          <w:sz w:val="24"/>
        </w:rPr>
      </w:pPr>
      <w:r>
        <w:rPr>
          <w:rFonts w:hint="eastAsia"/>
          <w:bCs/>
          <w:sz w:val="24"/>
        </w:rPr>
        <w:t>三、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pPr>
        <w:spacing w:line="360" w:lineRule="auto"/>
        <w:ind w:firstLine="480" w:firstLineChars="200"/>
        <w:rPr>
          <w:bCs/>
          <w:sz w:val="24"/>
        </w:rPr>
      </w:pPr>
      <w:r>
        <w:rPr>
          <w:rFonts w:hint="eastAsia"/>
          <w:bCs/>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2"/>
        </w:rPr>
        <w:br w:type="page"/>
      </w:r>
      <w:bookmarkStart w:id="235" w:name="_Toc123102457"/>
      <w:bookmarkStart w:id="236" w:name="_Toc79392622"/>
      <w:bookmarkStart w:id="237" w:name="_Toc123051456"/>
      <w:bookmarkStart w:id="238" w:name="_Toc19173705"/>
      <w:bookmarkStart w:id="239" w:name="_Toc32584"/>
      <w:bookmarkStart w:id="240" w:name="_Toc17920"/>
      <w:bookmarkStart w:id="241" w:name="_Toc17198"/>
      <w:bookmarkStart w:id="242" w:name="_Toc21237"/>
      <w:bookmarkStart w:id="243" w:name="_Toc123112238"/>
      <w:bookmarkStart w:id="244" w:name="_Toc29408"/>
      <w:bookmarkStart w:id="245" w:name="_Toc141703890"/>
      <w:bookmarkStart w:id="246" w:name="_Toc739"/>
      <w:bookmarkStart w:id="247" w:name="_Toc32092"/>
      <w:bookmarkStart w:id="248" w:name="_Toc98560356"/>
      <w:bookmarkStart w:id="249" w:name="_Toc3329"/>
      <w:bookmarkStart w:id="250" w:name="_Toc48649708"/>
      <w:bookmarkStart w:id="251" w:name="_Toc8791"/>
      <w:bookmarkStart w:id="252" w:name="_Toc139991740"/>
      <w:bookmarkStart w:id="253" w:name="_Toc20976"/>
      <w:bookmarkStart w:id="254" w:name="_Toc5170"/>
      <w:r>
        <w:rPr>
          <w:rFonts w:ascii="Times New Roman"/>
          <w:color w:val="auto"/>
          <w:sz w:val="30"/>
        </w:rPr>
        <w:t>第十部分  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auto"/>
          <w:sz w:val="30"/>
        </w:rPr>
      </w:pPr>
      <w:r>
        <w:rPr>
          <w:rFonts w:ascii="Times New Roman"/>
          <w:b w:val="0"/>
          <w:bCs/>
          <w:color w:val="auto"/>
        </w:rPr>
        <w:br w:type="page"/>
      </w:r>
      <w:bookmarkStart w:id="255" w:name="_Toc123051457"/>
      <w:bookmarkStart w:id="256" w:name="_Toc48649710"/>
      <w:bookmarkStart w:id="257" w:name="_Toc79392624"/>
      <w:bookmarkStart w:id="258" w:name="_Toc123102458"/>
      <w:bookmarkStart w:id="259" w:name="_Toc123112239"/>
      <w:bookmarkStart w:id="260" w:name="_Toc141703891"/>
      <w:bookmarkStart w:id="261" w:name="_Toc98560357"/>
      <w:bookmarkStart w:id="262" w:name="_Toc139991741"/>
      <w:bookmarkStart w:id="263" w:name="_Toc26084"/>
      <w:bookmarkStart w:id="264" w:name="_Toc14725"/>
      <w:bookmarkStart w:id="265" w:name="_Toc31469"/>
      <w:bookmarkStart w:id="266" w:name="_Toc26152"/>
      <w:bookmarkStart w:id="267" w:name="_Toc16789"/>
      <w:bookmarkStart w:id="268" w:name="_Toc22674"/>
      <w:bookmarkStart w:id="269" w:name="_Toc19520"/>
      <w:bookmarkStart w:id="270" w:name="_Toc3244"/>
      <w:bookmarkStart w:id="271" w:name="_Toc19173706"/>
      <w:bookmarkStart w:id="272" w:name="_Toc21886"/>
      <w:bookmarkStart w:id="273" w:name="_Toc2255"/>
      <w:bookmarkStart w:id="274" w:name="_Toc26383"/>
      <w:r>
        <w:rPr>
          <w:rFonts w:ascii="Times New Roman"/>
          <w:color w:val="auto"/>
          <w:sz w:val="30"/>
        </w:rPr>
        <w:t>第十一部分  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一、基金份额</w:t>
      </w:r>
      <w:r>
        <w:rPr>
          <w:rFonts w:hint="eastAsia"/>
          <w:bCs/>
          <w:sz w:val="24"/>
        </w:rPr>
        <w:t>的</w:t>
      </w:r>
      <w:r>
        <w:rPr>
          <w:bCs/>
          <w:sz w:val="24"/>
        </w:rPr>
        <w:t>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spacing w:line="360" w:lineRule="auto"/>
        <w:ind w:firstLine="480" w:firstLineChars="200"/>
        <w:rPr>
          <w:bCs/>
          <w:sz w:val="24"/>
        </w:rPr>
      </w:pPr>
      <w:r>
        <w:rPr>
          <w:bCs/>
          <w:sz w:val="24"/>
        </w:rPr>
        <w:t>三、基金登记机构的权利</w:t>
      </w:r>
      <w:bookmarkStart w:id="275" w:name="_Hlt88820748"/>
      <w:bookmarkEnd w:id="275"/>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w:t>
      </w:r>
      <w:r>
        <w:rPr>
          <w:rFonts w:hint="eastAsia"/>
          <w:bCs/>
          <w:sz w:val="24"/>
        </w:rPr>
        <w:t>保管</w:t>
      </w:r>
      <w:r>
        <w:rPr>
          <w:bCs/>
          <w:sz w:val="24"/>
        </w:rPr>
        <w:t>基金份额持有人开户资料、交易资料、基金份额持有人名册等；</w:t>
      </w:r>
    </w:p>
    <w:p>
      <w:pPr>
        <w:spacing w:line="360" w:lineRule="auto"/>
        <w:ind w:firstLine="480" w:firstLineChars="200"/>
        <w:rPr>
          <w:bCs/>
          <w:sz w:val="24"/>
        </w:rPr>
      </w:pPr>
      <w:r>
        <w:rPr>
          <w:bCs/>
          <w:sz w:val="24"/>
        </w:rPr>
        <w:t>4、在法律法规允许的范围内，对登记业务的办理时间进行调整，并依照有关规定于开始实施前在规定媒介上公告；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shd w:val="pct10" w:color="auto" w:fill="FFFFFF"/>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妥善保存登记数据，并将基金份额持有人名称、身份信息及基金份额明细等数据备份至中国证监会认定的机构，其保存期限自基金账户销户之日起不得少于20年</w:t>
      </w:r>
      <w:r>
        <w:rPr>
          <w:bCs/>
          <w:sz w:val="24"/>
        </w:rPr>
        <w:t>；</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义务。</w:t>
      </w:r>
    </w:p>
    <w:p>
      <w:pPr>
        <w:pStyle w:val="2"/>
        <w:spacing w:before="0" w:after="0"/>
        <w:jc w:val="center"/>
        <w:rPr>
          <w:rFonts w:ascii="Times New Roman"/>
          <w:color w:val="auto"/>
          <w:sz w:val="30"/>
        </w:rPr>
      </w:pPr>
      <w:r>
        <w:rPr>
          <w:rFonts w:ascii="Times New Roman"/>
          <w:b w:val="0"/>
          <w:bCs/>
          <w:color w:val="auto"/>
        </w:rPr>
        <w:br w:type="page"/>
      </w:r>
      <w:bookmarkStart w:id="276" w:name="_Toc2981"/>
      <w:bookmarkStart w:id="277" w:name="_Toc11351"/>
      <w:bookmarkStart w:id="278" w:name="_Toc16437"/>
      <w:bookmarkStart w:id="279" w:name="_Toc801"/>
      <w:bookmarkStart w:id="280" w:name="_Toc21917"/>
      <w:bookmarkStart w:id="281" w:name="_Toc5477"/>
      <w:bookmarkStart w:id="282" w:name="_Toc3872"/>
      <w:bookmarkStart w:id="283" w:name="_Toc13343"/>
      <w:bookmarkStart w:id="284" w:name="_Toc578"/>
      <w:bookmarkStart w:id="285" w:name="_Toc22538"/>
      <w:bookmarkStart w:id="286" w:name="_Toc11395"/>
      <w:bookmarkStart w:id="287" w:name="_Toc19173707"/>
      <w:r>
        <w:rPr>
          <w:rFonts w:ascii="Times New Roman"/>
          <w:color w:val="auto"/>
          <w:sz w:val="30"/>
        </w:rPr>
        <w:t>第十二部分  基金的投资</w:t>
      </w:r>
      <w:bookmarkEnd w:id="276"/>
      <w:bookmarkEnd w:id="277"/>
      <w:bookmarkEnd w:id="278"/>
      <w:bookmarkEnd w:id="279"/>
      <w:bookmarkEnd w:id="280"/>
      <w:bookmarkEnd w:id="281"/>
      <w:bookmarkEnd w:id="282"/>
      <w:bookmarkEnd w:id="283"/>
      <w:bookmarkEnd w:id="284"/>
      <w:bookmarkEnd w:id="285"/>
      <w:bookmarkEnd w:id="286"/>
      <w:bookmarkEnd w:id="287"/>
    </w:p>
    <w:p>
      <w:pPr>
        <w:spacing w:line="360" w:lineRule="auto"/>
        <w:ind w:firstLine="480" w:firstLineChars="200"/>
        <w:rPr>
          <w:bCs/>
          <w:sz w:val="24"/>
        </w:rPr>
      </w:pPr>
    </w:p>
    <w:p>
      <w:pPr>
        <w:spacing w:line="360" w:lineRule="auto"/>
        <w:ind w:firstLine="480" w:firstLineChars="200"/>
        <w:rPr>
          <w:bCs/>
          <w:sz w:val="24"/>
        </w:rPr>
      </w:pPr>
      <w:r>
        <w:rPr>
          <w:bCs/>
          <w:sz w:val="24"/>
        </w:rPr>
        <w:t>一、投资目标</w:t>
      </w:r>
    </w:p>
    <w:p>
      <w:pPr>
        <w:spacing w:line="360" w:lineRule="auto"/>
        <w:ind w:firstLine="480" w:firstLineChars="200"/>
        <w:rPr>
          <w:bCs/>
          <w:sz w:val="24"/>
        </w:rPr>
      </w:pPr>
      <w:r>
        <w:rPr>
          <w:rFonts w:hint="eastAsia"/>
          <w:bCs/>
          <w:sz w:val="24"/>
        </w:rPr>
        <w:t>本基金在严格控制风险的前提下，通过各类资产的合理配置，力争实现基金资产的长期稳健增值。</w:t>
      </w:r>
    </w:p>
    <w:p>
      <w:pPr>
        <w:spacing w:line="360" w:lineRule="auto"/>
        <w:ind w:firstLine="480" w:firstLineChars="200"/>
        <w:rPr>
          <w:bCs/>
          <w:sz w:val="24"/>
        </w:rPr>
      </w:pPr>
      <w:r>
        <w:rPr>
          <w:bCs/>
          <w:sz w:val="24"/>
        </w:rPr>
        <w:t>二、投资范围</w:t>
      </w:r>
    </w:p>
    <w:p>
      <w:pPr>
        <w:spacing w:line="360" w:lineRule="auto"/>
        <w:ind w:firstLine="480" w:firstLineChars="200"/>
        <w:rPr>
          <w:bCs/>
          <w:sz w:val="24"/>
        </w:rPr>
      </w:pPr>
      <w:r>
        <w:rPr>
          <w:rFonts w:hint="eastAsia"/>
          <w:bCs/>
          <w:sz w:val="24"/>
        </w:rPr>
        <w:t>本基金的投资范围包括国内依法发行上市的股票（含主板</w:t>
      </w:r>
      <w:r>
        <w:rPr>
          <w:bCs/>
          <w:sz w:val="24"/>
        </w:rPr>
        <w:t>、</w:t>
      </w:r>
      <w:r>
        <w:rPr>
          <w:rFonts w:hint="eastAsia"/>
          <w:bCs/>
          <w:sz w:val="24"/>
        </w:rPr>
        <w:t>中小板、创业板及其他经中国证监会允许投资的股票）、债券（包括国债、央行票据、金融债券、企业债券、公司债券、中期票据、短期融资券、超短期融资券、次级债券、政府支持机构债券、政府支持债券、地方政府债券、可交换债券、可转换债券（含分离交易可转债）及其他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p>
    <w:p>
      <w:pPr>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firstLineChars="200"/>
        <w:rPr>
          <w:bCs/>
          <w:sz w:val="24"/>
        </w:rPr>
      </w:pPr>
      <w:r>
        <w:rPr>
          <w:rFonts w:hint="eastAsia"/>
          <w:bCs/>
          <w:sz w:val="24"/>
        </w:rPr>
        <w:t>基金的投资组合比例为：本基金投资于股票的比例不高于基金资产的30%；本基金投资于同业存单的比例不得超过基金资产的20％。在开放期内，每个交易日日终在扣除股指期货、国债期货合约需缴纳的交易保证金以后，基金保留的现金或投资于到期日在一年以内的政府债券的比例合计不低于基金资产净值的5%，本基金所指的现金不包括结算备付金、存出保证金、应收申购款等。</w:t>
      </w:r>
      <w:r>
        <w:rPr>
          <w:bCs/>
          <w:sz w:val="24"/>
        </w:rPr>
        <w:t>在封闭期内，本基金不受上述5%的限制，但每个交易日日终在扣除股指期货、国债期货合约需缴纳的交易保证金后，应当保持不低于交易保证金一倍的现金</w:t>
      </w:r>
      <w:r>
        <w:rPr>
          <w:rFonts w:hint="eastAsia"/>
          <w:bCs/>
          <w:sz w:val="24"/>
        </w:rPr>
        <w:t>。</w:t>
      </w:r>
    </w:p>
    <w:p>
      <w:pPr>
        <w:spacing w:line="360" w:lineRule="auto"/>
        <w:ind w:firstLine="480" w:firstLineChars="200"/>
        <w:rPr>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firstLineChars="200"/>
        <w:rPr>
          <w:bCs/>
          <w:sz w:val="24"/>
        </w:rPr>
      </w:pPr>
      <w:r>
        <w:rPr>
          <w:bCs/>
          <w:sz w:val="24"/>
        </w:rPr>
        <w:t>三、投资策略</w:t>
      </w:r>
    </w:p>
    <w:p>
      <w:pPr>
        <w:spacing w:line="360" w:lineRule="auto"/>
        <w:ind w:firstLine="480" w:firstLineChars="200"/>
        <w:rPr>
          <w:bCs/>
          <w:sz w:val="24"/>
        </w:rPr>
      </w:pPr>
      <w:r>
        <w:rPr>
          <w:rFonts w:hint="eastAsia"/>
          <w:bCs/>
          <w:sz w:val="24"/>
        </w:rPr>
        <w:t>（一）封闭期投资策略</w:t>
      </w:r>
    </w:p>
    <w:p>
      <w:pPr>
        <w:spacing w:line="360" w:lineRule="auto"/>
        <w:ind w:firstLine="480" w:firstLineChars="200"/>
        <w:rPr>
          <w:bCs/>
          <w:sz w:val="24"/>
        </w:rPr>
      </w:pPr>
      <w:r>
        <w:rPr>
          <w:rFonts w:hint="eastAsia"/>
          <w:bCs/>
          <w:sz w:val="24"/>
        </w:rPr>
        <w:t>1、大类资产配置策略</w:t>
      </w:r>
    </w:p>
    <w:p>
      <w:pPr>
        <w:spacing w:line="360" w:lineRule="auto"/>
        <w:ind w:firstLine="480" w:firstLineChars="200"/>
        <w:rPr>
          <w:bCs/>
          <w:sz w:val="24"/>
        </w:rPr>
      </w:pPr>
      <w:r>
        <w:rPr>
          <w:rFonts w:hint="eastAsia"/>
          <w:bCs/>
          <w:sz w:val="24"/>
        </w:rPr>
        <w:t>本基金通过定量、定性相结合的方法分析宏观经济、财政及货币政策、资金供需情况等因素综合分析以及对资本市场发展趋势的判断，在评价未来一段时间各类的预期风险收益率、相关性的基础上，据此合理制定和调整股票、债券等各类资产的比例，并将重点关注债券资产的收益率。此外，本基金将持续地进行定期与不定期的资产配置风险监控，适时地做出相应的调整。</w:t>
      </w:r>
    </w:p>
    <w:p>
      <w:pPr>
        <w:spacing w:line="360" w:lineRule="auto"/>
        <w:ind w:firstLine="480" w:firstLineChars="200"/>
        <w:rPr>
          <w:bCs/>
          <w:sz w:val="24"/>
        </w:rPr>
      </w:pPr>
      <w:r>
        <w:rPr>
          <w:rFonts w:hint="eastAsia"/>
          <w:bCs/>
          <w:sz w:val="24"/>
        </w:rPr>
        <w:t>2、股票投资策略</w:t>
      </w:r>
    </w:p>
    <w:p>
      <w:pPr>
        <w:spacing w:line="360" w:lineRule="auto"/>
        <w:ind w:firstLine="480" w:firstLineChars="200"/>
        <w:rPr>
          <w:bCs/>
          <w:sz w:val="24"/>
        </w:rPr>
      </w:pPr>
      <w:r>
        <w:rPr>
          <w:bCs/>
          <w:sz w:val="24"/>
        </w:rPr>
        <w:t>本基金通过选择基本面良好、流动性高、风险低、具有中长期上涨潜力的股票进行分散化组合投资，控制流动性风险和非系统性风险，追求股票投资组合的长期稳定增值。</w:t>
      </w:r>
    </w:p>
    <w:p>
      <w:pPr>
        <w:spacing w:line="360" w:lineRule="auto"/>
        <w:ind w:firstLine="480" w:firstLineChars="200"/>
        <w:rPr>
          <w:bCs/>
          <w:sz w:val="24"/>
        </w:rPr>
      </w:pPr>
      <w:r>
        <w:rPr>
          <w:rFonts w:hint="eastAsia"/>
          <w:bCs/>
          <w:sz w:val="24"/>
        </w:rPr>
        <w:t>在个股投资策略方面，本基金将采取“自下而上”为主，“自上而下”为辅相结合的策略，综合分析企业盈利模式、管理层、产业趋势、现金流和分红等核心指标，通过人口周期、技术创新周期、产品生命周期、固定资产投资和库存周期等角度分析产业趋势，精选具有较高盈利能力的、管理层优秀的、现金流和分红良好的、能够持续提高竞争力的优质企业，同时根据上市公司自身盈利能力波动周期，结合自上而下的宏观经济和流动性周期，以及和其他类型资产的比较，根据估值的相对高低对投资组合进行动态调整。力争通过精选优质且价值合理的上市公司，持续优化投资组合，为投资者创造稳健回报。</w:t>
      </w:r>
    </w:p>
    <w:p>
      <w:pPr>
        <w:spacing w:line="360" w:lineRule="auto"/>
        <w:ind w:firstLine="480" w:firstLineChars="200"/>
        <w:rPr>
          <w:bCs/>
          <w:sz w:val="24"/>
        </w:rPr>
      </w:pPr>
      <w:r>
        <w:rPr>
          <w:rFonts w:hint="eastAsia"/>
          <w:bCs/>
          <w:sz w:val="24"/>
        </w:rPr>
        <w:t>3、债券投资策略</w:t>
      </w:r>
    </w:p>
    <w:p>
      <w:pPr>
        <w:spacing w:line="360" w:lineRule="auto"/>
        <w:ind w:firstLine="480" w:firstLineChars="200"/>
        <w:rPr>
          <w:bCs/>
          <w:sz w:val="24"/>
        </w:rPr>
      </w:pPr>
      <w:r>
        <w:rPr>
          <w:rFonts w:hint="eastAsia"/>
          <w:bCs/>
          <w:sz w:val="24"/>
        </w:rPr>
        <w:t>债券投资策略方面，本基金在综合研究的基础上实施积极主动的组合管理，采用宏观环境分析和微观市场定价分析两个方面进行债券资产的投资。在宏观环境分析方面，结合对宏观经济、市场利率、债券供求等因素的综合分析，根据交易所市场与银行间市场类属资产的风险收益特征，定期对投资组合类属资产进行优化配置和调整，确定不同类属资产的最优权重。</w:t>
      </w:r>
    </w:p>
    <w:p>
      <w:pPr>
        <w:spacing w:line="360" w:lineRule="auto"/>
        <w:ind w:firstLine="480" w:firstLineChars="200"/>
        <w:rPr>
          <w:bCs/>
          <w:sz w:val="24"/>
        </w:rPr>
      </w:pPr>
      <w:r>
        <w:rPr>
          <w:rFonts w:hint="eastAsia"/>
          <w:bCs/>
          <w:sz w:val="24"/>
        </w:rPr>
        <w:t>本基金主要投资的除可转换债券（含分离交易可转债）、可交换债券以外的其他信用债（以下简称“其他信用债”）的信用评级为AA及以上，投资于信用评级为AA的信用债占其他信用债的比例不高于20%，投资于信用评级为AA+的信用债占其他信用债的比例不高于70%，投资于信用评级为AAA的信用债占其他信用债的比例不低于30%，其中金融债券（不含政策性金融债）、企业债券、公司债券、次级债券、中期票据、政府支持机构债券、政府支持债券等信用评级依照评级机构出具的债券信用评级，短期融资券、超短期融资券等短期信用债的信用评级依照评级机构出具的主体信用评级，本基金投资的信用债如果没有债券信用评级，参照主体信用评级。</w:t>
      </w:r>
    </w:p>
    <w:p>
      <w:pPr>
        <w:spacing w:line="360" w:lineRule="auto"/>
        <w:ind w:firstLine="480" w:firstLineChars="200"/>
        <w:rPr>
          <w:bCs/>
          <w:sz w:val="24"/>
        </w:rPr>
      </w:pPr>
      <w:r>
        <w:rPr>
          <w:rFonts w:hint="eastAsia"/>
          <w:bCs/>
          <w:sz w:val="24"/>
        </w:rPr>
        <w:t>在微观市场定价分析方面，本基金以中长期利率趋势分析为基础，结合经济趋势、货币政策及不同债券品种的收益率水平、流动性和信用风险等因素，重点选择那些流动性较好、风险水平合理、到期收益率与信用质量相对较高的债券品种。具体投资策略有收益率曲线策略、骑乘策略、息差策略等积极投资策略构建债券投资组合。</w:t>
      </w:r>
    </w:p>
    <w:p>
      <w:pPr>
        <w:spacing w:line="360" w:lineRule="auto"/>
        <w:ind w:firstLine="480" w:firstLineChars="200"/>
        <w:rPr>
          <w:bCs/>
          <w:sz w:val="24"/>
        </w:rPr>
      </w:pPr>
      <w:r>
        <w:rPr>
          <w:rFonts w:hint="eastAsia"/>
          <w:bCs/>
          <w:sz w:val="24"/>
        </w:rPr>
        <w:t>4、衍生品投资策略</w:t>
      </w:r>
    </w:p>
    <w:p>
      <w:pPr>
        <w:spacing w:line="360" w:lineRule="auto"/>
        <w:ind w:firstLine="480" w:firstLineChars="200"/>
        <w:rPr>
          <w:bCs/>
          <w:sz w:val="24"/>
        </w:rPr>
      </w:pPr>
      <w:r>
        <w:rPr>
          <w:rFonts w:hint="eastAsia"/>
          <w:bCs/>
          <w:sz w:val="24"/>
        </w:rPr>
        <w:t>（1）股指期货投资策略</w:t>
      </w:r>
    </w:p>
    <w:p>
      <w:pPr>
        <w:spacing w:line="360" w:lineRule="auto"/>
        <w:ind w:firstLine="480" w:firstLineChars="200"/>
        <w:rPr>
          <w:bCs/>
          <w:sz w:val="24"/>
        </w:rPr>
      </w:pPr>
      <w:r>
        <w:rPr>
          <w:rFonts w:hint="eastAsia"/>
          <w:bCs/>
          <w:sz w:val="24"/>
        </w:rPr>
        <w:t>本基金根据风险管理的原则，以套期保值为目的，参与股指期货交易。投资原则为有于基金资产增值，控制下跌风险实现保值和锁定收益。</w:t>
      </w:r>
    </w:p>
    <w:p>
      <w:pPr>
        <w:spacing w:line="360" w:lineRule="auto"/>
        <w:ind w:firstLine="480" w:firstLineChars="200"/>
        <w:rPr>
          <w:bCs/>
          <w:sz w:val="24"/>
        </w:rPr>
      </w:pPr>
      <w:r>
        <w:rPr>
          <w:rFonts w:hint="eastAsia"/>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pPr>
        <w:spacing w:line="360" w:lineRule="auto"/>
        <w:ind w:firstLine="480" w:firstLineChars="200"/>
        <w:rPr>
          <w:bCs/>
          <w:sz w:val="24"/>
        </w:rPr>
      </w:pPr>
      <w:r>
        <w:rPr>
          <w:rFonts w:hint="eastAsia"/>
          <w:bCs/>
          <w:sz w:val="24"/>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pPr>
        <w:spacing w:line="360" w:lineRule="auto"/>
        <w:ind w:firstLine="480" w:firstLineChars="200"/>
        <w:rPr>
          <w:bCs/>
          <w:sz w:val="24"/>
        </w:rPr>
      </w:pPr>
      <w:r>
        <w:rPr>
          <w:rFonts w:hint="eastAsia"/>
          <w:bCs/>
          <w:sz w:val="24"/>
        </w:rPr>
        <w:t>（2）国债期货投资策略</w:t>
      </w:r>
    </w:p>
    <w:p>
      <w:pPr>
        <w:spacing w:line="360" w:lineRule="auto"/>
        <w:ind w:firstLine="480" w:firstLineChars="200"/>
        <w:rPr>
          <w:bCs/>
          <w:sz w:val="24"/>
        </w:rPr>
      </w:pPr>
      <w:r>
        <w:rPr>
          <w:rFonts w:hint="eastAsia"/>
          <w:bCs/>
          <w:sz w:val="24"/>
        </w:rPr>
        <w:t>本基金参与国债期货的投资应符合基金合同规定的投资策略和投资目标。本基金以套期保值为目的，根据风险管理的原则，在风险可控的前提下，投资于国债期货合约，有效管理投资组合的系统性风险，积极改善组合的风险收益特征。</w:t>
      </w:r>
    </w:p>
    <w:p>
      <w:pPr>
        <w:spacing w:line="360" w:lineRule="auto"/>
        <w:ind w:firstLine="480" w:firstLineChars="200"/>
        <w:rPr>
          <w:bCs/>
          <w:sz w:val="24"/>
        </w:rPr>
      </w:pPr>
      <w:r>
        <w:rPr>
          <w:rFonts w:hint="eastAsia"/>
          <w:bCs/>
          <w:sz w:val="24"/>
        </w:rPr>
        <w:t>本基金通过对宏观经济和利率市场走势的分析与判断，并充分考虑国债期货的收益性、流动性及风险特征，通过资产配置，谨慎进行投资，以调整债券组合的久期，降低投资组合的整体风险。具体而言，本基金的国债期货投资策略包括套期保值时机选择策略、期货合约选择和头寸选择策略、展期策略、保证金管理策略、流动性管理策略等。</w:t>
      </w:r>
    </w:p>
    <w:p>
      <w:pPr>
        <w:spacing w:line="360" w:lineRule="auto"/>
        <w:ind w:firstLine="480" w:firstLineChars="200"/>
        <w:rPr>
          <w:bCs/>
          <w:sz w:val="24"/>
        </w:rPr>
      </w:pPr>
      <w:r>
        <w:rPr>
          <w:rFonts w:hint="eastAsia"/>
          <w:bCs/>
          <w:sz w:val="24"/>
        </w:rPr>
        <w:t>5、资产支持证券投资策略</w:t>
      </w:r>
    </w:p>
    <w:p>
      <w:pPr>
        <w:spacing w:line="360" w:lineRule="auto"/>
        <w:ind w:firstLine="480" w:firstLineChars="200"/>
        <w:rPr>
          <w:bCs/>
          <w:sz w:val="24"/>
        </w:rPr>
      </w:pPr>
      <w:r>
        <w:rPr>
          <w:rFonts w:hint="eastAsia"/>
          <w:bCs/>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p>
    <w:p>
      <w:pPr>
        <w:spacing w:line="360" w:lineRule="auto"/>
        <w:ind w:firstLine="480" w:firstLineChars="200"/>
        <w:rPr>
          <w:bCs/>
          <w:sz w:val="24"/>
        </w:rPr>
      </w:pPr>
      <w:r>
        <w:rPr>
          <w:rFonts w:hint="eastAsia"/>
          <w:bCs/>
          <w:sz w:val="24"/>
        </w:rPr>
        <w:t>（二）开放期投资策略</w:t>
      </w:r>
    </w:p>
    <w:p>
      <w:pPr>
        <w:spacing w:line="360" w:lineRule="auto"/>
        <w:ind w:firstLine="480" w:firstLineChars="200"/>
        <w:rPr>
          <w:bCs/>
          <w:sz w:val="24"/>
        </w:rPr>
      </w:pPr>
      <w:r>
        <w:rPr>
          <w:rFonts w:hint="eastAsia"/>
          <w:bCs/>
          <w:sz w:val="24"/>
        </w:rPr>
        <w:t>开放期内，本基金为保持较高的组合流动性，方便投资人安排投资，在遵守本基金有关投资限制与投资比例的前提下，将主要投资于高流动性的投资品种，防范流动性风险，满足开放期的流动性需求。</w:t>
      </w:r>
    </w:p>
    <w:p>
      <w:pPr>
        <w:spacing w:line="360" w:lineRule="auto"/>
        <w:ind w:firstLine="480" w:firstLineChars="200"/>
        <w:rPr>
          <w:bCs/>
          <w:sz w:val="24"/>
        </w:rPr>
      </w:pPr>
      <w:r>
        <w:rPr>
          <w:bCs/>
          <w:sz w:val="24"/>
        </w:rPr>
        <w:t>四、投资限制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rFonts w:hint="eastAsia"/>
          <w:bCs/>
          <w:sz w:val="24"/>
        </w:rPr>
        <w:t>基金的投资组合应遵循以下限制：</w:t>
      </w:r>
    </w:p>
    <w:p>
      <w:pPr>
        <w:spacing w:line="360" w:lineRule="auto"/>
        <w:ind w:firstLine="480" w:firstLineChars="200"/>
        <w:rPr>
          <w:bCs/>
          <w:sz w:val="24"/>
        </w:rPr>
      </w:pPr>
      <w:r>
        <w:rPr>
          <w:rFonts w:hint="eastAsia"/>
          <w:bCs/>
          <w:sz w:val="24"/>
        </w:rPr>
        <w:t>（1）本基金投资于股票的比例不高于基金资产的30%；本基金投资于同业存单的比例不得超过基金资产的20％；</w:t>
      </w:r>
    </w:p>
    <w:p>
      <w:pPr>
        <w:spacing w:line="360" w:lineRule="auto"/>
        <w:ind w:firstLine="480" w:firstLineChars="200"/>
        <w:rPr>
          <w:bCs/>
          <w:sz w:val="24"/>
        </w:rPr>
      </w:pPr>
      <w:r>
        <w:rPr>
          <w:rFonts w:hint="eastAsia"/>
          <w:bCs/>
          <w:sz w:val="24"/>
        </w:rPr>
        <w:t>（2）在开放期内，每个交易日日终在扣除股指期货、国债期货合约需缴纳的交易保证金以后，基金保留的现金或投资于到期日在一年以内的政府债券的比例合计不低于基金资产净值的5%，本基金所指的现金不包括结算备付金、存出保证金、应收申购款等。在封闭期内，本基金不受上述5%的限制，但每个交易日日终在扣除股指期货、国债期货合约需缴纳的交易保证金后，应当保持不低于交易保证金一倍的现金；</w:t>
      </w:r>
    </w:p>
    <w:p>
      <w:pPr>
        <w:spacing w:line="360" w:lineRule="auto"/>
        <w:ind w:firstLine="480" w:firstLineChars="200"/>
        <w:rPr>
          <w:bCs/>
          <w:sz w:val="24"/>
        </w:rPr>
      </w:pPr>
      <w:r>
        <w:rPr>
          <w:rFonts w:hint="eastAsia"/>
          <w:bCs/>
          <w:sz w:val="24"/>
        </w:rPr>
        <w:t xml:space="preserve">（3）本基金持有一家公司发行的证券，其市值不超过基金资产净值的10％;   </w:t>
      </w:r>
    </w:p>
    <w:p>
      <w:pPr>
        <w:spacing w:line="360" w:lineRule="auto"/>
        <w:ind w:firstLine="480" w:firstLineChars="200"/>
        <w:rPr>
          <w:bCs/>
          <w:sz w:val="24"/>
        </w:rPr>
      </w:pPr>
      <w:r>
        <w:rPr>
          <w:rFonts w:hint="eastAsia"/>
          <w:bCs/>
          <w:sz w:val="24"/>
        </w:rPr>
        <w:t>（4）本基金管理人管理的全部基金持有一家公司发行的证券，不超过该证券的10％，完全按照有关指数的构成比例进行证券投资的基金品种可以不受此条款规定的比例限制；</w:t>
      </w:r>
    </w:p>
    <w:p>
      <w:pPr>
        <w:spacing w:line="360" w:lineRule="auto"/>
        <w:ind w:firstLine="480" w:firstLineChars="200"/>
        <w:rPr>
          <w:bCs/>
          <w:sz w:val="24"/>
        </w:rPr>
      </w:pPr>
      <w:r>
        <w:rPr>
          <w:rFonts w:hint="eastAsia"/>
          <w:bCs/>
          <w:sz w:val="24"/>
        </w:rPr>
        <w:t>（</w:t>
      </w:r>
      <w:r>
        <w:rPr>
          <w:bCs/>
          <w:sz w:val="24"/>
        </w:rPr>
        <w:t>5</w:t>
      </w:r>
      <w:r>
        <w:rPr>
          <w:rFonts w:hint="eastAsia"/>
          <w:bCs/>
          <w:sz w:val="24"/>
        </w:rPr>
        <w:t xml:space="preserve">）本基金投资于同一原始权益人的各类资产支持证券的比例，不得超过基金资产净值的10％； </w:t>
      </w:r>
    </w:p>
    <w:p>
      <w:pPr>
        <w:spacing w:line="360" w:lineRule="auto"/>
        <w:ind w:firstLine="480" w:firstLineChars="200"/>
        <w:rPr>
          <w:bCs/>
          <w:sz w:val="24"/>
        </w:rPr>
      </w:pPr>
      <w:r>
        <w:rPr>
          <w:rFonts w:hint="eastAsia"/>
          <w:bCs/>
          <w:sz w:val="24"/>
        </w:rPr>
        <w:t>（</w:t>
      </w:r>
      <w:r>
        <w:rPr>
          <w:bCs/>
          <w:sz w:val="24"/>
        </w:rPr>
        <w:t>6</w:t>
      </w:r>
      <w:r>
        <w:rPr>
          <w:rFonts w:hint="eastAsia"/>
          <w:bCs/>
          <w:sz w:val="24"/>
        </w:rPr>
        <w:t>）本基金持有的全部资产支持证券，其市值不得超过基金资产净值的20％；</w:t>
      </w:r>
    </w:p>
    <w:p>
      <w:pPr>
        <w:spacing w:line="360" w:lineRule="auto"/>
        <w:ind w:firstLine="480" w:firstLineChars="200"/>
        <w:rPr>
          <w:bCs/>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）本基金持有的同一(指同一信用级别)资产支持证券的比例，不得超过该资产支持证券规模的10％；</w:t>
      </w:r>
    </w:p>
    <w:p>
      <w:pPr>
        <w:spacing w:line="360" w:lineRule="auto"/>
        <w:ind w:firstLine="480" w:firstLineChars="20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w:t>
      </w:r>
      <w:r>
        <w:rPr>
          <w:bCs/>
          <w:sz w:val="24"/>
        </w:rPr>
        <w:t>9</w:t>
      </w:r>
      <w:r>
        <w:rPr>
          <w:rFonts w:hint="eastAsia"/>
          <w:bCs/>
          <w:sz w:val="24"/>
        </w:rPr>
        <w:t>）本基金应投资于信用级别评级为 BBB 以上(含 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rFonts w:hint="eastAsia"/>
          <w:bCs/>
          <w:sz w:val="24"/>
        </w:rPr>
        <w:t>（1</w:t>
      </w:r>
      <w:r>
        <w:rPr>
          <w:bCs/>
          <w:sz w:val="24"/>
        </w:rPr>
        <w:t>0</w:t>
      </w:r>
      <w:r>
        <w:rPr>
          <w:rFonts w:hint="eastAsia"/>
          <w:bCs/>
          <w:sz w:val="24"/>
        </w:rPr>
        <w:t xml:space="preserve">）基金财产参与股票发行申购，本基金所申报的金额不超过本基金的总资产，本基金所申报的股票数量不超过拟发行股票公司本次发行股票的总量； </w:t>
      </w:r>
    </w:p>
    <w:p>
      <w:pPr>
        <w:spacing w:line="360" w:lineRule="auto"/>
        <w:ind w:firstLine="480" w:firstLineChars="200"/>
        <w:rPr>
          <w:bCs/>
          <w:sz w:val="24"/>
        </w:rPr>
      </w:pPr>
      <w:r>
        <w:rPr>
          <w:rFonts w:hint="eastAsia"/>
          <w:bCs/>
          <w:sz w:val="24"/>
        </w:rPr>
        <w:t>（1</w:t>
      </w:r>
      <w:r>
        <w:rPr>
          <w:bCs/>
          <w:sz w:val="24"/>
        </w:rPr>
        <w:t>1</w:t>
      </w:r>
      <w:r>
        <w:rPr>
          <w:rFonts w:hint="eastAsia"/>
          <w:bCs/>
          <w:sz w:val="24"/>
        </w:rPr>
        <w:t>）本基金进入全国银行间同业市场进行债券回购的资金余额不得超过基金资产净值的40%，进入全国银行间同业市场进行债券回购的最长期限为1年，债券回购到期后不得展期；</w:t>
      </w:r>
    </w:p>
    <w:p>
      <w:pPr>
        <w:spacing w:line="360" w:lineRule="auto"/>
        <w:ind w:firstLine="480" w:firstLineChars="200"/>
        <w:rPr>
          <w:bCs/>
          <w:sz w:val="24"/>
        </w:rPr>
      </w:pPr>
      <w:r>
        <w:rPr>
          <w:rFonts w:hint="eastAsia"/>
          <w:bCs/>
          <w:sz w:val="24"/>
        </w:rPr>
        <w:t>（1</w:t>
      </w:r>
      <w:r>
        <w:rPr>
          <w:bCs/>
          <w:sz w:val="24"/>
        </w:rPr>
        <w:t>2</w:t>
      </w:r>
      <w:r>
        <w:rPr>
          <w:rFonts w:hint="eastAsia"/>
          <w:bCs/>
          <w:sz w:val="24"/>
        </w:rPr>
        <w:t>）本基金参与股指期货交易，应当符合下列投资限制：</w:t>
      </w:r>
    </w:p>
    <w:p>
      <w:pPr>
        <w:spacing w:line="360" w:lineRule="auto"/>
        <w:ind w:firstLine="480" w:firstLineChars="200"/>
        <w:rPr>
          <w:bCs/>
          <w:sz w:val="24"/>
        </w:rPr>
      </w:pPr>
      <w:r>
        <w:rPr>
          <w:rFonts w:hint="eastAsia"/>
          <w:bCs/>
          <w:sz w:val="24"/>
        </w:rPr>
        <w:t xml:space="preserve"> 1）在任何交易日日终，持有的买入股指期货合约价值不得超过基金资产净值的10%； </w:t>
      </w:r>
    </w:p>
    <w:p>
      <w:pPr>
        <w:spacing w:line="360" w:lineRule="auto"/>
        <w:ind w:firstLine="480" w:firstLineChars="200"/>
        <w:rPr>
          <w:bCs/>
          <w:sz w:val="24"/>
        </w:rPr>
      </w:pPr>
      <w:r>
        <w:rPr>
          <w:rFonts w:hint="eastAsia"/>
          <w:bCs/>
          <w:sz w:val="24"/>
        </w:rPr>
        <w:t>2）在开放期任何交易日日终，持有的买入股指期货、国债期货合约价值与有价证券市值之和，不得超过基金资产净值的95%</w:t>
      </w:r>
      <w:r>
        <w:rPr>
          <w:bCs/>
          <w:sz w:val="24"/>
        </w:rPr>
        <w:t>；在封闭期任何交易日日终，</w:t>
      </w:r>
      <w:r>
        <w:rPr>
          <w:rFonts w:hint="eastAsia"/>
          <w:bCs/>
          <w:sz w:val="24"/>
        </w:rPr>
        <w:t>持有的买入股指期货、国债期货合约价值与有价证券市值之和，</w:t>
      </w:r>
      <w:r>
        <w:rPr>
          <w:bCs/>
          <w:sz w:val="24"/>
        </w:rPr>
        <w:t>不得超过基金资产净值的100%</w:t>
      </w:r>
      <w:r>
        <w:rPr>
          <w:rFonts w:hint="eastAsia"/>
          <w:bCs/>
          <w:sz w:val="24"/>
        </w:rPr>
        <w:t>。其中，有价证券指股票、债券（不含到期日在一年以内的政府债券）、资产支持证券、买入返售金融资产（不含质押式回购）等；</w:t>
      </w:r>
    </w:p>
    <w:p>
      <w:pPr>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spacing w:line="360" w:lineRule="auto"/>
        <w:ind w:firstLine="480" w:firstLineChars="200"/>
        <w:rPr>
          <w:bCs/>
          <w:sz w:val="24"/>
        </w:rPr>
      </w:pPr>
      <w:r>
        <w:rPr>
          <w:rFonts w:hint="eastAsia"/>
          <w:bCs/>
          <w:sz w:val="24"/>
        </w:rPr>
        <w:t xml:space="preserve">4）本基金所持有的股票市值和买入、卖出股指期货合约价值，合计（轧差计算）应当符合《基金合同》关于股票投资比例的有关约定； </w:t>
      </w:r>
    </w:p>
    <w:p>
      <w:pPr>
        <w:spacing w:line="360" w:lineRule="auto"/>
        <w:ind w:firstLine="480" w:firstLineChars="200"/>
        <w:rPr>
          <w:bCs/>
          <w:sz w:val="24"/>
        </w:rPr>
      </w:pPr>
      <w:r>
        <w:rPr>
          <w:rFonts w:hint="eastAsia"/>
          <w:bCs/>
          <w:sz w:val="24"/>
        </w:rPr>
        <w:t xml:space="preserve">5）本基金在任何交易日内交易（不包括平仓）的股指期货合约的成交金额不得超过上一交易日基金资产净值的20%； </w:t>
      </w:r>
    </w:p>
    <w:p>
      <w:pPr>
        <w:spacing w:line="360" w:lineRule="auto"/>
        <w:ind w:firstLine="480" w:firstLineChars="200"/>
        <w:rPr>
          <w:bCs/>
          <w:sz w:val="24"/>
        </w:rPr>
      </w:pPr>
      <w:r>
        <w:rPr>
          <w:rFonts w:hint="eastAsia"/>
          <w:bCs/>
          <w:sz w:val="24"/>
        </w:rPr>
        <w:t xml:space="preserve">（13）本基金参与国债期货交易，应当符合下列投资限制： </w:t>
      </w:r>
    </w:p>
    <w:p>
      <w:pPr>
        <w:spacing w:line="360" w:lineRule="auto"/>
        <w:ind w:firstLine="480" w:firstLineChars="200"/>
        <w:rPr>
          <w:bCs/>
          <w:sz w:val="24"/>
        </w:rPr>
      </w:pPr>
      <w:r>
        <w:rPr>
          <w:rFonts w:hint="eastAsia"/>
          <w:bCs/>
          <w:sz w:val="24"/>
        </w:rPr>
        <w:t>1）本基金在任何交易日日终，持有的买入国债期货合约价值，不得超过基金资产净值的15%；</w:t>
      </w:r>
    </w:p>
    <w:p>
      <w:pPr>
        <w:spacing w:line="360" w:lineRule="auto"/>
        <w:ind w:firstLine="480" w:firstLineChars="200"/>
        <w:rPr>
          <w:bCs/>
          <w:sz w:val="24"/>
        </w:rPr>
      </w:pPr>
      <w:r>
        <w:rPr>
          <w:rFonts w:hint="eastAsia"/>
          <w:bCs/>
          <w:sz w:val="24"/>
        </w:rPr>
        <w:t xml:space="preserve"> 2）本基金在任何交易日日终，持有的卖出国债期货合约价值不得超过基金持有的债券总市值的 30%；</w:t>
      </w:r>
    </w:p>
    <w:p>
      <w:pPr>
        <w:spacing w:line="360" w:lineRule="auto"/>
        <w:ind w:firstLine="480" w:firstLineChars="200"/>
        <w:rPr>
          <w:bCs/>
          <w:sz w:val="24"/>
        </w:rPr>
      </w:pPr>
      <w:r>
        <w:rPr>
          <w:rFonts w:hint="eastAsia"/>
          <w:bCs/>
          <w:sz w:val="24"/>
        </w:rPr>
        <w:t xml:space="preserve">3）本基金在任何交易日内交易（不包括平仓）的国债期货合约的成交金额不得超过上一交易日基金资产净值的30%； </w:t>
      </w:r>
    </w:p>
    <w:p>
      <w:pPr>
        <w:spacing w:line="360" w:lineRule="auto"/>
        <w:ind w:firstLine="480" w:firstLineChars="200"/>
        <w:rPr>
          <w:bCs/>
          <w:sz w:val="24"/>
        </w:rPr>
      </w:pPr>
      <w:r>
        <w:rPr>
          <w:rFonts w:hint="eastAsia"/>
          <w:bCs/>
          <w:sz w:val="24"/>
        </w:rPr>
        <w:t xml:space="preserve">4）本基金所持有的债券（不含到期日在一年以内的政府债券）市值和买入、卖出国债期货合约价值，合计（轧差计算）应当符合基金合同关于债券投资比例的有关约定； </w:t>
      </w:r>
    </w:p>
    <w:p>
      <w:pPr>
        <w:spacing w:line="360" w:lineRule="auto"/>
        <w:ind w:firstLine="480" w:firstLineChars="200"/>
        <w:rPr>
          <w:bCs/>
          <w:sz w:val="24"/>
        </w:rPr>
      </w:pPr>
      <w:r>
        <w:rPr>
          <w:rFonts w:hint="eastAsia"/>
          <w:bCs/>
          <w:sz w:val="24"/>
        </w:rPr>
        <w:t xml:space="preserve">（14）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 </w:t>
      </w:r>
    </w:p>
    <w:p>
      <w:pPr>
        <w:spacing w:line="360" w:lineRule="auto"/>
        <w:ind w:firstLine="480" w:firstLineChars="200"/>
        <w:rPr>
          <w:bCs/>
          <w:sz w:val="24"/>
        </w:rPr>
      </w:pPr>
      <w:r>
        <w:rPr>
          <w:rFonts w:hint="eastAsia"/>
          <w:bCs/>
          <w:sz w:val="24"/>
        </w:rPr>
        <w:t xml:space="preserve">（15）开放期内，本基金主动投资于流动性受限资产的市值合计不得超过基金资产净值的15%；封闭期内不受此限制。因证券市场波动、上市公司股票停牌、基金规模变动等基金管理人之外的因素致使基金不符合该比例限制的，基金管理人不得主动新增流动性受限资产的投资； </w:t>
      </w:r>
    </w:p>
    <w:p>
      <w:pPr>
        <w:spacing w:line="360" w:lineRule="auto"/>
        <w:ind w:firstLine="480" w:firstLineChars="200"/>
        <w:rPr>
          <w:bCs/>
          <w:sz w:val="24"/>
        </w:rPr>
      </w:pPr>
      <w:r>
        <w:rPr>
          <w:rFonts w:hint="eastAsia"/>
          <w:bCs/>
          <w:sz w:val="24"/>
        </w:rPr>
        <w:t>（</w:t>
      </w:r>
      <w:r>
        <w:rPr>
          <w:bCs/>
          <w:sz w:val="24"/>
        </w:rPr>
        <w:t>1</w:t>
      </w:r>
      <w:r>
        <w:rPr>
          <w:rFonts w:hint="eastAsia"/>
          <w:bCs/>
          <w:sz w:val="24"/>
        </w:rPr>
        <w:t>6）封闭期内，本基金资产总值不超过基金资产净值的200%；开放期内，本基金资产总值不超过基金资产净值的140%；</w:t>
      </w:r>
    </w:p>
    <w:p>
      <w:pPr>
        <w:spacing w:line="360" w:lineRule="auto"/>
        <w:ind w:firstLine="480" w:firstLineChars="200"/>
        <w:rPr>
          <w:bCs/>
          <w:sz w:val="24"/>
        </w:rPr>
      </w:pPr>
      <w:r>
        <w:rPr>
          <w:rFonts w:hint="eastAsia"/>
          <w:bCs/>
          <w:sz w:val="24"/>
        </w:rPr>
        <w:t>（</w:t>
      </w:r>
      <w:r>
        <w:rPr>
          <w:bCs/>
          <w:sz w:val="24"/>
        </w:rPr>
        <w:t>1</w:t>
      </w:r>
      <w:r>
        <w:rPr>
          <w:rFonts w:hint="eastAsia"/>
          <w:bCs/>
          <w:sz w:val="24"/>
        </w:rPr>
        <w:t>7）本基金与私募类证券资管产品及中国证监会认定的其他主体为交易对手开展逆回购交易的，可接受质押品的资质要求应当与本基金合同约定的投资范围保持一致；</w:t>
      </w:r>
    </w:p>
    <w:p>
      <w:pPr>
        <w:spacing w:line="360" w:lineRule="auto"/>
        <w:ind w:firstLine="480" w:firstLineChars="200"/>
        <w:rPr>
          <w:bCs/>
          <w:sz w:val="24"/>
        </w:rPr>
      </w:pPr>
      <w:r>
        <w:rPr>
          <w:rFonts w:hint="eastAsia"/>
          <w:bCs/>
          <w:sz w:val="24"/>
        </w:rPr>
        <w:t xml:space="preserve">（18）法律法规及中国证监会规定的和《基金合同》约定的其他投资限制。 </w:t>
      </w:r>
    </w:p>
    <w:p>
      <w:pPr>
        <w:spacing w:line="360" w:lineRule="auto"/>
        <w:ind w:firstLine="480" w:firstLineChars="200"/>
        <w:rPr>
          <w:bCs/>
          <w:sz w:val="24"/>
        </w:rPr>
      </w:pPr>
      <w:r>
        <w:rPr>
          <w:rFonts w:hint="eastAsia"/>
          <w:bCs/>
          <w:sz w:val="24"/>
        </w:rPr>
        <w:t>除上述第（2）、（</w:t>
      </w:r>
      <w:r>
        <w:rPr>
          <w:bCs/>
          <w:sz w:val="24"/>
        </w:rPr>
        <w:t>9</w:t>
      </w:r>
      <w:r>
        <w:rPr>
          <w:rFonts w:hint="eastAsia"/>
          <w:bCs/>
          <w:sz w:val="24"/>
        </w:rPr>
        <w:t>）、（15）、（17）项外，因证券、期货市场波动、证券发行人合并、基金规模变动等基金管理人之外的因素致使基金投资比例不符合上述规定投资比例的，基金管理人应当在10 个交易日内进行调整，但中国证监会规定的特殊情形除外。法律法规另有规定的，从其规定。</w:t>
      </w:r>
    </w:p>
    <w:p>
      <w:pPr>
        <w:spacing w:line="360" w:lineRule="auto"/>
        <w:ind w:firstLine="480" w:firstLineChars="200"/>
        <w:rPr>
          <w:bCs/>
          <w:sz w:val="24"/>
        </w:rPr>
      </w:pPr>
      <w:r>
        <w:rPr>
          <w:rFonts w:hint="eastAsia"/>
          <w:bCs/>
          <w:sz w:val="24"/>
        </w:rPr>
        <w:t>基金管理人应当自基金合同生效之日起 6 个月内使基金的投资组合比例符合基金合同的有关约定。在上述期间内，本基金的投资范围、投资策略应当符合基金合同的约定。基金托管人对基金的投资的监督与检查自本基金合同生效之日起开始。法律法规另有规定的，从其规定。</w:t>
      </w:r>
    </w:p>
    <w:p>
      <w:pPr>
        <w:spacing w:line="360" w:lineRule="auto"/>
        <w:ind w:firstLine="480" w:firstLineChars="200"/>
        <w:rPr>
          <w:bCs/>
          <w:sz w:val="24"/>
        </w:rPr>
      </w:pPr>
      <w:r>
        <w:rPr>
          <w:rFonts w:hint="eastAsia"/>
          <w:bCs/>
          <w:sz w:val="24"/>
        </w:rPr>
        <w:t>法律法规或监管部门取消或调整上述限制，如适用于本基金，基金管理人在履行适当程序后，则本基金投资不再受相关限制或以调整后的规定为准。</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pPr>
        <w:spacing w:line="360" w:lineRule="auto"/>
        <w:ind w:firstLine="480" w:firstLineChars="200"/>
        <w:rPr>
          <w:bCs/>
          <w:sz w:val="24"/>
        </w:rPr>
      </w:pPr>
      <w:r>
        <w:rPr>
          <w:rFonts w:hint="eastAsia"/>
          <w:bCs/>
          <w:sz w:val="24"/>
        </w:rPr>
        <w:t>（5）</w:t>
      </w:r>
      <w:r>
        <w:rPr>
          <w:bCs/>
          <w:sz w:val="24"/>
        </w:rPr>
        <w:t>向</w:t>
      </w:r>
      <w:r>
        <w:rPr>
          <w:rFonts w:hint="eastAsia"/>
          <w:bCs/>
          <w:sz w:val="24"/>
        </w:rPr>
        <w:t>其</w:t>
      </w:r>
      <w:r>
        <w:rPr>
          <w:bCs/>
          <w:sz w:val="24"/>
        </w:rPr>
        <w:t>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法律法规或监管部门取消上述限制，如适用于本基金，则本基金投资不再受相关限制。</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bCs/>
          <w:sz w:val="24"/>
        </w:rPr>
        <w:t>五、业绩比较基准</w:t>
      </w:r>
    </w:p>
    <w:p>
      <w:pPr>
        <w:spacing w:line="360" w:lineRule="auto"/>
        <w:ind w:firstLine="480" w:firstLineChars="200"/>
        <w:rPr>
          <w:bCs/>
          <w:sz w:val="24"/>
        </w:rPr>
      </w:pPr>
      <w:r>
        <w:rPr>
          <w:rFonts w:hint="eastAsia"/>
          <w:bCs/>
          <w:sz w:val="24"/>
        </w:rPr>
        <w:t>本基金的业绩比较基准是：</w:t>
      </w:r>
    </w:p>
    <w:p>
      <w:pPr>
        <w:spacing w:line="360" w:lineRule="auto"/>
        <w:ind w:firstLine="480" w:firstLineChars="200"/>
        <w:rPr>
          <w:bCs/>
          <w:sz w:val="24"/>
        </w:rPr>
      </w:pPr>
      <w:r>
        <w:rPr>
          <w:bCs/>
          <w:sz w:val="24"/>
        </w:rPr>
        <w:t>中债新综合指数收益率</w:t>
      </w:r>
      <w:r>
        <w:rPr>
          <w:rFonts w:hint="eastAsia"/>
          <w:bCs/>
          <w:sz w:val="24"/>
        </w:rPr>
        <w:t>╳85</w:t>
      </w:r>
      <w:r>
        <w:rPr>
          <w:bCs/>
          <w:sz w:val="24"/>
        </w:rPr>
        <w:t>%+沪深300指数收益率</w:t>
      </w:r>
      <w:r>
        <w:rPr>
          <w:rFonts w:hint="eastAsia"/>
          <w:bCs/>
          <w:sz w:val="24"/>
        </w:rPr>
        <w:t>╳</w:t>
      </w:r>
      <w:r>
        <w:rPr>
          <w:bCs/>
          <w:sz w:val="24"/>
        </w:rPr>
        <w:t>1</w:t>
      </w:r>
      <w:r>
        <w:rPr>
          <w:rFonts w:hint="eastAsia"/>
          <w:bCs/>
          <w:sz w:val="24"/>
        </w:rPr>
        <w:t>5</w:t>
      </w:r>
      <w:r>
        <w:rPr>
          <w:bCs/>
          <w:sz w:val="24"/>
        </w:rPr>
        <w:t>%</w:t>
      </w:r>
    </w:p>
    <w:p>
      <w:pPr>
        <w:spacing w:line="360" w:lineRule="auto"/>
        <w:ind w:firstLine="480" w:firstLineChars="200"/>
        <w:rPr>
          <w:bCs/>
          <w:sz w:val="24"/>
        </w:rPr>
      </w:pPr>
      <w:r>
        <w:rPr>
          <w:bCs/>
          <w:sz w:val="24"/>
        </w:rPr>
        <w:t>中债新综合指数能够反映债券市场总体走势，适合作为本基金固定收益部分的业绩比较基准。沪深300</w:t>
      </w:r>
      <w:r>
        <w:rPr>
          <w:rFonts w:hint="eastAsia"/>
          <w:bCs/>
          <w:sz w:val="24"/>
        </w:rPr>
        <w:t>指数由中证指数有限公司编制，综合反映了沪深证券市场大中市值公司的整体状况，具有良好的市场代表性。选用上述指数作为业绩比较基准能客观合理地反映本基金风险收益特征。</w:t>
      </w:r>
    </w:p>
    <w:p>
      <w:pPr>
        <w:spacing w:line="360" w:lineRule="auto"/>
        <w:ind w:firstLine="480" w:firstLineChars="200"/>
        <w:rPr>
          <w:bCs/>
        </w:rPr>
      </w:pPr>
      <w:r>
        <w:rPr>
          <w:rFonts w:hint="eastAsia"/>
          <w:bCs/>
          <w:sz w:val="24"/>
        </w:rPr>
        <w:t>若未来法律法规发生变化，或者有更权威的、更能为市场普遍接受的业绩比较基准推出，或者市场发生变化导致本业绩比较基准不再适用或本业绩比较基准停止发布，本基金管理人可以依据维护投资者合法权益的原则，在与基金托管人协商一致在按照监管部门要求履行适当程序后，适当调整业绩比较基准并及时公告，而无需召开基金份额持有人大会。</w:t>
      </w:r>
    </w:p>
    <w:p>
      <w:pPr>
        <w:spacing w:line="360" w:lineRule="auto"/>
        <w:ind w:firstLine="480" w:firstLineChars="200"/>
        <w:rPr>
          <w:bCs/>
          <w:sz w:val="24"/>
        </w:rPr>
      </w:pPr>
      <w:r>
        <w:rPr>
          <w:bCs/>
          <w:sz w:val="24"/>
        </w:rPr>
        <w:t>六、风险收益特征</w:t>
      </w:r>
    </w:p>
    <w:p>
      <w:pPr>
        <w:spacing w:line="360" w:lineRule="auto"/>
        <w:ind w:firstLine="480" w:firstLineChars="200"/>
        <w:rPr>
          <w:bCs/>
          <w:sz w:val="24"/>
        </w:rPr>
      </w:pPr>
      <w:r>
        <w:rPr>
          <w:rFonts w:hint="eastAsia"/>
          <w:bCs/>
          <w:sz w:val="24"/>
        </w:rPr>
        <w:t>本基金是混合型基金，预期风险和预期收益高于债券型基金和货币市场基金，但低于股票型基金。</w:t>
      </w:r>
    </w:p>
    <w:p>
      <w:pPr>
        <w:spacing w:line="360" w:lineRule="auto"/>
        <w:ind w:firstLine="480" w:firstLineChars="200"/>
        <w:rPr>
          <w:bCs/>
          <w:sz w:val="24"/>
        </w:rPr>
      </w:pPr>
      <w:r>
        <w:rPr>
          <w:rFonts w:hint="eastAsia"/>
          <w:bCs/>
          <w:sz w:val="24"/>
        </w:rPr>
        <w:t>七、</w:t>
      </w:r>
      <w:r>
        <w:rPr>
          <w:bCs/>
          <w:sz w:val="24"/>
        </w:rPr>
        <w:t>基金管理人代表基金行使股东或债权人权利的处理原则及方法</w:t>
      </w:r>
    </w:p>
    <w:p>
      <w:pPr>
        <w:spacing w:line="360" w:lineRule="auto"/>
        <w:ind w:firstLine="480" w:firstLineChars="200"/>
        <w:rPr>
          <w:bCs/>
          <w:sz w:val="24"/>
        </w:rPr>
      </w:pPr>
      <w:r>
        <w:rPr>
          <w:bCs/>
          <w:sz w:val="24"/>
        </w:rPr>
        <w:t xml:space="preserve">1、基金管理人按照国家有关规定代表基金独立行使股东或债权人权利，保护基金份额持有人的利益； </w:t>
      </w:r>
    </w:p>
    <w:p>
      <w:pPr>
        <w:spacing w:line="360" w:lineRule="auto"/>
        <w:ind w:firstLine="480" w:firstLineChars="200"/>
        <w:rPr>
          <w:bCs/>
          <w:sz w:val="24"/>
        </w:rPr>
      </w:pPr>
      <w:r>
        <w:rPr>
          <w:bCs/>
          <w:sz w:val="24"/>
        </w:rPr>
        <w:t xml:space="preserve">2、不谋求对上市公司的控股； </w:t>
      </w:r>
    </w:p>
    <w:p>
      <w:pPr>
        <w:spacing w:line="360" w:lineRule="auto"/>
        <w:ind w:firstLine="480" w:firstLineChars="200"/>
        <w:rPr>
          <w:bCs/>
          <w:sz w:val="24"/>
        </w:rPr>
      </w:pPr>
      <w:r>
        <w:rPr>
          <w:bCs/>
          <w:sz w:val="24"/>
        </w:rPr>
        <w:t xml:space="preserve">3、有利于基金财产的安全与增值； </w:t>
      </w:r>
    </w:p>
    <w:p>
      <w:pPr>
        <w:spacing w:line="360" w:lineRule="auto"/>
        <w:ind w:firstLine="480" w:firstLineChars="200"/>
        <w:rPr>
          <w:bCs/>
          <w:sz w:val="24"/>
        </w:rPr>
      </w:pPr>
      <w:r>
        <w:rPr>
          <w:bCs/>
          <w:sz w:val="24"/>
        </w:rPr>
        <w:t>4、不通过关联交易为自身、雇员、授权代理人或任何存在利害关系的第三人牟取任何不当利益。</w:t>
      </w:r>
    </w:p>
    <w:p>
      <w:pPr>
        <w:spacing w:line="360" w:lineRule="auto"/>
        <w:ind w:firstLine="480" w:firstLineChars="200"/>
        <w:rPr>
          <w:bCs/>
          <w:sz w:val="24"/>
        </w:rPr>
      </w:pPr>
      <w:r>
        <w:rPr>
          <w:rFonts w:hint="eastAsia"/>
          <w:bCs/>
          <w:sz w:val="24"/>
        </w:rPr>
        <w:t xml:space="preserve">八、侧袋机制的实施和投资运作安排 </w:t>
      </w:r>
    </w:p>
    <w:p>
      <w:pPr>
        <w:spacing w:line="360" w:lineRule="auto"/>
        <w:ind w:firstLine="480" w:firstLineChars="200"/>
        <w:rPr>
          <w:bCs/>
          <w:sz w:val="24"/>
        </w:rPr>
      </w:pPr>
      <w:r>
        <w:rPr>
          <w:rFonts w:hint="eastAsia"/>
          <w:bCs/>
          <w:sz w:val="24"/>
        </w:rPr>
        <w:t xml:space="preserve">当基金持有特定资产且存在或潜在大额赎回申请时，根据最大限度保护基金份额持有人利益的原则，基金管理人经与基金托管人协商一致，并咨询会计师事务所意见后，可以依照法律法规及基金合同的约定启用侧袋机制。 </w:t>
      </w:r>
    </w:p>
    <w:p>
      <w:pPr>
        <w:spacing w:line="360" w:lineRule="auto"/>
        <w:ind w:firstLine="480" w:firstLineChars="200"/>
        <w:rPr>
          <w:bCs/>
          <w:sz w:val="24"/>
        </w:rPr>
      </w:pPr>
      <w:r>
        <w:rPr>
          <w:rFonts w:hint="eastAsia"/>
          <w:bCs/>
          <w:sz w:val="24"/>
        </w:rPr>
        <w:t>侧袋机制实施期间，本部分约定的投资组合比例、投资策略、组合限制、业绩比较基准、风险收益特征等约定仅适用于主袋账户。</w:t>
      </w:r>
    </w:p>
    <w:p>
      <w:pPr>
        <w:spacing w:line="360" w:lineRule="auto"/>
        <w:ind w:firstLine="480" w:firstLineChars="200"/>
        <w:rPr>
          <w:bCs/>
          <w:sz w:val="24"/>
        </w:rPr>
      </w:pPr>
      <w:r>
        <w:rPr>
          <w:rFonts w:hint="eastAsia"/>
          <w:bCs/>
          <w:sz w:val="24"/>
        </w:rPr>
        <w:t>侧袋账户的实施条件、实施程序、运作安排、投资安排、特定资产的处置变现和支付等对投资者权益有重大影响的事项详见招募说明书的规定。</w:t>
      </w:r>
    </w:p>
    <w:p>
      <w:pPr>
        <w:spacing w:line="360" w:lineRule="auto"/>
        <w:rPr>
          <w:bCs/>
          <w:sz w:val="24"/>
        </w:rPr>
      </w:pPr>
      <w:r>
        <w:rPr>
          <w:bCs/>
          <w:sz w:val="24"/>
        </w:rPr>
        <w:t xml:space="preserve">                                                            </w:t>
      </w:r>
    </w:p>
    <w:p>
      <w:pPr>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288" w:name="_Toc92662704"/>
      <w:bookmarkStart w:id="289" w:name="_Toc93226145"/>
      <w:bookmarkStart w:id="290" w:name="_Toc20102"/>
      <w:bookmarkStart w:id="291" w:name="_Toc21642"/>
      <w:bookmarkStart w:id="292" w:name="_Toc24474"/>
      <w:bookmarkStart w:id="293" w:name="_Toc19173708"/>
      <w:bookmarkStart w:id="294" w:name="_Toc29561"/>
      <w:bookmarkStart w:id="295" w:name="_Toc13819"/>
      <w:bookmarkStart w:id="296" w:name="_Toc128310496"/>
      <w:bookmarkStart w:id="297" w:name="_Toc141703893"/>
      <w:bookmarkStart w:id="298" w:name="_Toc139991743"/>
      <w:bookmarkStart w:id="299" w:name="_Toc18000"/>
      <w:bookmarkStart w:id="300" w:name="_Toc31611"/>
      <w:bookmarkStart w:id="301" w:name="_Toc26114"/>
      <w:bookmarkStart w:id="302" w:name="_Toc20782"/>
      <w:bookmarkStart w:id="303" w:name="_Toc32030"/>
      <w:bookmarkStart w:id="304" w:name="_Toc3054"/>
      <w:r>
        <w:rPr>
          <w:rFonts w:ascii="Times New Roman"/>
          <w:color w:val="auto"/>
          <w:sz w:val="30"/>
        </w:rPr>
        <w:t>第十三部分  基金</w:t>
      </w:r>
      <w:bookmarkEnd w:id="288"/>
      <w:bookmarkEnd w:id="289"/>
      <w:r>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bCs/>
          <w:sz w:val="24"/>
        </w:rPr>
        <w:t>基金资产总值是指</w:t>
      </w:r>
      <w:r>
        <w:rPr>
          <w:rFonts w:hint="eastAsia"/>
          <w:bCs/>
          <w:sz w:val="24"/>
        </w:rPr>
        <w:t>购买</w:t>
      </w:r>
      <w:r>
        <w:rPr>
          <w:bCs/>
          <w:sz w:val="24"/>
        </w:rPr>
        <w:t>的各类证券</w:t>
      </w:r>
      <w:r>
        <w:rPr>
          <w:rFonts w:hint="eastAsia"/>
          <w:bCs/>
          <w:sz w:val="24"/>
        </w:rPr>
        <w:t>及票据价值</w:t>
      </w:r>
      <w:r>
        <w:rPr>
          <w:bCs/>
          <w:sz w:val="24"/>
        </w:rPr>
        <w:t>、银行存款本息和基金应收</w:t>
      </w:r>
      <w:r>
        <w:rPr>
          <w:rFonts w:hint="eastAsia"/>
          <w:bCs/>
          <w:sz w:val="24"/>
        </w:rPr>
        <w:t>的申购基金款</w:t>
      </w:r>
      <w:r>
        <w:rPr>
          <w:bCs/>
          <w:sz w:val="24"/>
        </w:rPr>
        <w:t>以及其他</w:t>
      </w:r>
      <w:r>
        <w:rPr>
          <w:rFonts w:hint="eastAsia"/>
          <w:bCs/>
          <w:sz w:val="24"/>
        </w:rPr>
        <w:t>投资所形成</w:t>
      </w:r>
      <w:r>
        <w:rPr>
          <w:bCs/>
          <w:sz w:val="24"/>
        </w:rPr>
        <w:t>的价值总和。</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5" w:name="_Hlt88841837"/>
      <w:bookmarkEnd w:id="305"/>
    </w:p>
    <w:p>
      <w:pPr>
        <w:spacing w:line="360" w:lineRule="auto"/>
        <w:ind w:firstLine="480" w:firstLineChars="200"/>
        <w:rPr>
          <w:bCs/>
          <w:sz w:val="24"/>
        </w:rPr>
      </w:pPr>
      <w:r>
        <w:rPr>
          <w:bCs/>
          <w:sz w:val="24"/>
        </w:rPr>
        <w:t>四、基金财产的保管和处分</w:t>
      </w:r>
      <w:bookmarkStart w:id="306" w:name="_Hlt88900062"/>
      <w:bookmarkEnd w:id="306"/>
    </w:p>
    <w:p>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307" w:name="_Toc31917"/>
      <w:bookmarkStart w:id="308" w:name="_Toc871"/>
      <w:bookmarkStart w:id="309" w:name="_Toc19173709"/>
      <w:bookmarkStart w:id="310" w:name="_Toc27832"/>
      <w:bookmarkStart w:id="311" w:name="_Toc2623"/>
      <w:bookmarkStart w:id="312" w:name="_Toc17782"/>
      <w:bookmarkStart w:id="313" w:name="_Toc19714"/>
      <w:bookmarkStart w:id="314" w:name="_Toc7802"/>
      <w:bookmarkStart w:id="315" w:name="_Toc141703894"/>
      <w:bookmarkStart w:id="316" w:name="_Toc139991744"/>
      <w:r>
        <w:rPr>
          <w:rFonts w:ascii="Times New Roman"/>
          <w:color w:val="auto"/>
          <w:sz w:val="30"/>
        </w:rPr>
        <w:t>第十四部分  基金资产估值</w:t>
      </w:r>
      <w:bookmarkEnd w:id="307"/>
      <w:bookmarkEnd w:id="308"/>
      <w:bookmarkEnd w:id="309"/>
      <w:bookmarkEnd w:id="310"/>
      <w:bookmarkEnd w:id="311"/>
      <w:bookmarkEnd w:id="312"/>
      <w:bookmarkEnd w:id="313"/>
      <w:bookmarkEnd w:id="314"/>
    </w:p>
    <w:p>
      <w:pPr>
        <w:spacing w:line="360" w:lineRule="auto"/>
        <w:ind w:firstLine="480" w:firstLineChars="200"/>
        <w:rPr>
          <w:bCs/>
          <w:sz w:val="24"/>
        </w:rPr>
      </w:pPr>
    </w:p>
    <w:bookmarkEnd w:id="315"/>
    <w:bookmarkEnd w:id="316"/>
    <w:p>
      <w:pPr>
        <w:spacing w:line="360" w:lineRule="auto"/>
        <w:ind w:firstLine="480" w:firstLineChars="200"/>
        <w:rPr>
          <w:bCs/>
          <w:sz w:val="24"/>
        </w:rPr>
      </w:pPr>
      <w:bookmarkStart w:id="317" w:name="_Toc32046"/>
      <w:bookmarkStart w:id="318" w:name="_Toc139991745"/>
      <w:bookmarkStart w:id="319" w:name="_Toc141703895"/>
      <w:r>
        <w:rPr>
          <w:bCs/>
          <w:sz w:val="24"/>
        </w:rPr>
        <w:t>一、估值日</w:t>
      </w:r>
    </w:p>
    <w:p>
      <w:pPr>
        <w:spacing w:line="360" w:lineRule="auto"/>
        <w:ind w:firstLine="480" w:firstLineChars="200"/>
        <w:rPr>
          <w:bCs/>
          <w:sz w:val="24"/>
        </w:rPr>
      </w:pPr>
      <w:r>
        <w:rPr>
          <w:bCs/>
          <w:sz w:val="24"/>
        </w:rPr>
        <w:t>本基金的估值日为本基金相关的证券交易场所的交易日以及国家法律法规规定需要对外披露基金净值的非交易日。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bCs/>
          <w:sz w:val="24"/>
        </w:rPr>
        <w:t>基金所拥有的股票、</w:t>
      </w:r>
      <w:r>
        <w:rPr>
          <w:rFonts w:hint="eastAsia"/>
          <w:bCs/>
          <w:sz w:val="24"/>
        </w:rPr>
        <w:t>股指期货、</w:t>
      </w:r>
      <w:r>
        <w:rPr>
          <w:bCs/>
          <w:sz w:val="24"/>
        </w:rPr>
        <w:t>国债期货</w:t>
      </w:r>
      <w:r>
        <w:rPr>
          <w:rFonts w:hint="eastAsia"/>
          <w:bCs/>
          <w:sz w:val="24"/>
        </w:rPr>
        <w:t>合约</w:t>
      </w:r>
      <w:r>
        <w:rPr>
          <w:bCs/>
          <w:sz w:val="24"/>
        </w:rPr>
        <w:t>、债券和银行存款本息、应收款项、其它投资等资产及负债。</w:t>
      </w:r>
    </w:p>
    <w:p>
      <w:pPr>
        <w:spacing w:line="360" w:lineRule="auto"/>
        <w:ind w:firstLine="480" w:firstLineChars="200"/>
        <w:rPr>
          <w:bCs/>
          <w:sz w:val="24"/>
        </w:rPr>
      </w:pPr>
      <w:r>
        <w:rPr>
          <w:bCs/>
          <w:sz w:val="24"/>
        </w:rPr>
        <w:t>三、</w:t>
      </w:r>
      <w:r>
        <w:rPr>
          <w:rFonts w:hint="eastAsia"/>
          <w:bCs/>
          <w:sz w:val="24"/>
        </w:rPr>
        <w:t>估值</w:t>
      </w:r>
      <w:r>
        <w:rPr>
          <w:bCs/>
          <w:sz w:val="24"/>
        </w:rPr>
        <w:t>原则</w:t>
      </w:r>
    </w:p>
    <w:p>
      <w:pPr>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spacing w:line="360" w:lineRule="auto"/>
        <w:ind w:firstLine="480" w:firstLineChars="20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bCs/>
          <w:sz w:val="24"/>
        </w:rPr>
      </w:pPr>
      <w:r>
        <w:rPr>
          <w:rFonts w:hint="eastAsia"/>
          <w:bCs/>
          <w:sz w:val="24"/>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bCs/>
          <w:sz w:val="24"/>
        </w:rPr>
      </w:pPr>
      <w:r>
        <w:rPr>
          <w:rFonts w:hint="eastAsia"/>
          <w:bCs/>
          <w:sz w:val="24"/>
        </w:rPr>
        <w:t>四</w:t>
      </w:r>
      <w:r>
        <w:rPr>
          <w:bCs/>
          <w:sz w:val="24"/>
        </w:rPr>
        <w:t>、估值方法</w:t>
      </w:r>
    </w:p>
    <w:p>
      <w:pPr>
        <w:spacing w:line="360" w:lineRule="auto"/>
        <w:ind w:firstLine="480" w:firstLineChars="200"/>
        <w:rPr>
          <w:bCs/>
          <w:sz w:val="24"/>
        </w:rPr>
      </w:pPr>
      <w:r>
        <w:rPr>
          <w:rFonts w:hint="eastAsia"/>
          <w:bCs/>
          <w:sz w:val="24"/>
        </w:rPr>
        <w:t>1、证券交易所上市的有价证券的估值</w:t>
      </w:r>
    </w:p>
    <w:p>
      <w:pPr>
        <w:spacing w:line="360" w:lineRule="auto"/>
        <w:ind w:firstLine="480" w:firstLineChars="200"/>
        <w:rPr>
          <w:bCs/>
          <w:sz w:val="24"/>
        </w:rPr>
      </w:pPr>
      <w:r>
        <w:rPr>
          <w:rFonts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bCs/>
          <w:sz w:val="24"/>
        </w:rPr>
      </w:pPr>
      <w:r>
        <w:rPr>
          <w:rFonts w:hint="eastAsia"/>
          <w:bCs/>
          <w:sz w:val="24"/>
        </w:rPr>
        <w:t>（2）交易所上市交易或挂牌转让的不含权固定收益品种，选取估值日第三方估值机构提供的相应品种当日的估值净价进行估值；</w:t>
      </w:r>
    </w:p>
    <w:p>
      <w:pPr>
        <w:spacing w:line="360" w:lineRule="auto"/>
        <w:ind w:firstLine="480" w:firstLineChars="200"/>
        <w:rPr>
          <w:bCs/>
          <w:sz w:val="24"/>
        </w:rPr>
      </w:pPr>
      <w:r>
        <w:rPr>
          <w:rFonts w:hint="eastAsia"/>
          <w:bCs/>
          <w:sz w:val="24"/>
        </w:rPr>
        <w:t>（3）交易所上市交易或挂牌转让的含权固定收益品种，选取估值日第三方估值机构提供的相应品种当日的唯一估值净价或推荐估值净价进行估值；</w:t>
      </w:r>
    </w:p>
    <w:p>
      <w:pPr>
        <w:spacing w:line="360" w:lineRule="auto"/>
        <w:ind w:firstLine="480" w:firstLineChars="200"/>
        <w:rPr>
          <w:bCs/>
          <w:sz w:val="24"/>
        </w:rPr>
      </w:pPr>
      <w:r>
        <w:rPr>
          <w:rFonts w:hint="eastAsia"/>
          <w:bCs/>
          <w:sz w:val="24"/>
        </w:rPr>
        <w:t>（4）交易所上市交易的可转换债券以每日收盘价作为估值全价；</w:t>
      </w:r>
    </w:p>
    <w:p>
      <w:pPr>
        <w:spacing w:line="360" w:lineRule="auto"/>
        <w:ind w:firstLine="480" w:firstLineChars="200"/>
        <w:rPr>
          <w:bCs/>
          <w:sz w:val="24"/>
        </w:rPr>
      </w:pPr>
      <w:r>
        <w:rPr>
          <w:rFonts w:hint="eastAsia"/>
          <w:bCs/>
          <w:sz w:val="24"/>
        </w:rPr>
        <w:t>（5）交易所上市不存在活跃市场的有价证券，采用估值技术确定公允价值。交易所市场挂牌转让的资产支持证券，采用估值技术确定公允价值；</w:t>
      </w:r>
    </w:p>
    <w:p>
      <w:pPr>
        <w:spacing w:line="360" w:lineRule="auto"/>
        <w:ind w:firstLine="480" w:firstLineChars="200"/>
        <w:rPr>
          <w:bCs/>
          <w:sz w:val="24"/>
        </w:rPr>
      </w:pPr>
      <w:r>
        <w:rPr>
          <w:rFonts w:hint="eastAsia"/>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360" w:lineRule="auto"/>
        <w:ind w:firstLine="480" w:firstLineChars="200"/>
        <w:rPr>
          <w:bCs/>
          <w:sz w:val="24"/>
        </w:rPr>
      </w:pPr>
      <w:r>
        <w:rPr>
          <w:rFonts w:hint="eastAsia"/>
          <w:bCs/>
          <w:sz w:val="24"/>
        </w:rPr>
        <w:t>2、处于未上市期间的有价证券应区分如下情况处理：</w:t>
      </w:r>
    </w:p>
    <w:p>
      <w:pPr>
        <w:spacing w:line="360" w:lineRule="auto"/>
        <w:ind w:firstLine="480" w:firstLineChars="200"/>
        <w:rPr>
          <w:bCs/>
          <w:sz w:val="24"/>
        </w:rPr>
      </w:pPr>
      <w:r>
        <w:rPr>
          <w:rFonts w:hint="eastAsia"/>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bCs/>
          <w:sz w:val="24"/>
        </w:rPr>
      </w:pPr>
      <w:r>
        <w:rPr>
          <w:rFonts w:hint="eastAsia"/>
          <w:bCs/>
          <w:sz w:val="24"/>
        </w:rPr>
        <w:t>（2）首次公开发行未上市的股票、债券，采用估值技术确定公允价值，在估值技术难以可靠计量公允价值的情况下，按成本估值；</w:t>
      </w:r>
    </w:p>
    <w:p>
      <w:pPr>
        <w:spacing w:line="360" w:lineRule="auto"/>
        <w:ind w:firstLine="480" w:firstLineChars="200"/>
        <w:rPr>
          <w:bCs/>
          <w:sz w:val="24"/>
        </w:rPr>
      </w:pPr>
      <w:r>
        <w:rPr>
          <w:rFonts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bCs/>
          <w:sz w:val="24"/>
        </w:rPr>
      </w:pPr>
      <w:r>
        <w:rPr>
          <w:rFonts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bCs/>
          <w:sz w:val="24"/>
        </w:rPr>
      </w:pPr>
      <w:r>
        <w:rPr>
          <w:rFonts w:hint="eastAsia"/>
          <w:bCs/>
          <w:sz w:val="24"/>
        </w:rPr>
        <w:t>4、本基金投资期货合约，一般以估值当日结算价进行估值，估值当日无结算价的，且最近交易日后经济环境未发生重大变化的，采用最近交易日结算价估值。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rFonts w:hint="eastAsia"/>
          <w:bCs/>
          <w:sz w:val="24"/>
        </w:rPr>
        <w:t>5、基金投资同业存单，按估值日第三方估值机构提供的估值净价估值；选定的第三方估值机构未提供估值价格的，按成本估值。</w:t>
      </w:r>
    </w:p>
    <w:p>
      <w:pPr>
        <w:spacing w:line="360" w:lineRule="auto"/>
        <w:ind w:firstLine="480" w:firstLineChars="200"/>
        <w:rPr>
          <w:bCs/>
          <w:sz w:val="24"/>
        </w:rPr>
      </w:pPr>
      <w:r>
        <w:rPr>
          <w:rFonts w:hint="eastAsia"/>
          <w:bCs/>
          <w:sz w:val="24"/>
        </w:rPr>
        <w:t>6、同一证券同时在两个或两个以上市场交易的，按证券所处的市场分别估值。</w:t>
      </w:r>
    </w:p>
    <w:p>
      <w:pPr>
        <w:spacing w:line="360" w:lineRule="auto"/>
        <w:ind w:firstLine="480" w:firstLineChars="200"/>
        <w:rPr>
          <w:bCs/>
          <w:sz w:val="24"/>
        </w:rPr>
      </w:pPr>
      <w:r>
        <w:rPr>
          <w:bCs/>
          <w:sz w:val="24"/>
        </w:rPr>
        <w:t>7</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spacing w:line="360" w:lineRule="auto"/>
        <w:ind w:firstLine="480" w:firstLineChars="200"/>
        <w:rPr>
          <w:bCs/>
          <w:sz w:val="24"/>
        </w:rPr>
      </w:pPr>
      <w:r>
        <w:rPr>
          <w:bCs/>
          <w:sz w:val="24"/>
        </w:rPr>
        <w:t>8</w:t>
      </w:r>
      <w:r>
        <w:rPr>
          <w:rFonts w:hint="eastAsia"/>
          <w:bCs/>
          <w:sz w:val="24"/>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bCs/>
          <w:sz w:val="24"/>
        </w:rPr>
        <w:t>9</w:t>
      </w:r>
      <w:r>
        <w:rPr>
          <w:rFonts w:hint="eastAsia"/>
          <w:bCs/>
          <w:sz w:val="24"/>
        </w:rPr>
        <w:t>、当发生大额申购或赎回情形时，基金管理人可以采用摆动定价机制，以确保基金估值的公平性。</w:t>
      </w:r>
    </w:p>
    <w:p>
      <w:pPr>
        <w:spacing w:line="360" w:lineRule="auto"/>
        <w:ind w:firstLine="480" w:firstLineChars="200"/>
        <w:rPr>
          <w:bCs/>
          <w:sz w:val="24"/>
        </w:rPr>
      </w:pPr>
      <w:r>
        <w:rPr>
          <w:bCs/>
          <w:sz w:val="24"/>
        </w:rPr>
        <w:t>10</w:t>
      </w:r>
      <w:r>
        <w:rPr>
          <w:rFonts w:hint="eastAsia"/>
          <w:bCs/>
          <w:sz w:val="24"/>
        </w:rPr>
        <w:t>、相关法律法规以及监管部门有强制规定的，从其规定。如有新增事项，按国家最新规定估值。</w:t>
      </w:r>
    </w:p>
    <w:p>
      <w:pPr>
        <w:spacing w:line="360" w:lineRule="auto"/>
        <w:ind w:firstLine="480" w:firstLineChars="20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rPr>
          <w:bCs/>
          <w:sz w:val="24"/>
        </w:rPr>
      </w:pPr>
      <w:r>
        <w:rPr>
          <w:rFonts w:hint="eastAsia"/>
          <w:bCs/>
          <w:sz w:val="24"/>
        </w:rPr>
        <w:t>五</w:t>
      </w:r>
      <w:r>
        <w:rPr>
          <w:bCs/>
          <w:sz w:val="24"/>
        </w:rPr>
        <w:t>、估值程序</w:t>
      </w:r>
    </w:p>
    <w:p>
      <w:pPr>
        <w:spacing w:line="360" w:lineRule="auto"/>
        <w:ind w:firstLine="480" w:firstLineChars="200"/>
        <w:rPr>
          <w:bCs/>
          <w:sz w:val="24"/>
        </w:rPr>
      </w:pPr>
      <w:r>
        <w:rPr>
          <w:bCs/>
          <w:sz w:val="24"/>
        </w:rPr>
        <w:t>1</w:t>
      </w:r>
      <w:r>
        <w:rPr>
          <w:rFonts w:hint="eastAsia"/>
          <w:bCs/>
          <w:sz w:val="24"/>
        </w:rPr>
        <w:t>、由于基金费用的不同，本基金</w:t>
      </w:r>
      <w:r>
        <w:rPr>
          <w:bCs/>
          <w:sz w:val="24"/>
        </w:rPr>
        <w:t>A</w:t>
      </w:r>
      <w:r>
        <w:rPr>
          <w:rFonts w:hint="eastAsia"/>
          <w:bCs/>
          <w:sz w:val="24"/>
        </w:rPr>
        <w:t>类基金份额和</w:t>
      </w:r>
      <w:r>
        <w:rPr>
          <w:bCs/>
          <w:sz w:val="24"/>
        </w:rPr>
        <w:t>C</w:t>
      </w:r>
      <w:r>
        <w:rPr>
          <w:rFonts w:hint="eastAsia"/>
          <w:bCs/>
          <w:sz w:val="24"/>
        </w:rPr>
        <w:t>类基金份额将分别计算基金份额净值。计算公式为</w:t>
      </w:r>
      <w:r>
        <w:rPr>
          <w:bCs/>
          <w:sz w:val="24"/>
        </w:rPr>
        <w:t xml:space="preserve">: </w:t>
      </w:r>
    </w:p>
    <w:p>
      <w:pPr>
        <w:spacing w:line="360" w:lineRule="auto"/>
        <w:ind w:firstLine="480" w:firstLineChars="200"/>
        <w:rPr>
          <w:bCs/>
          <w:sz w:val="24"/>
        </w:rPr>
      </w:pPr>
      <w:r>
        <w:rPr>
          <w:bCs/>
          <w:sz w:val="24"/>
        </w:rPr>
        <w:t>T</w:t>
      </w:r>
      <w:r>
        <w:rPr>
          <w:rFonts w:hint="eastAsia"/>
          <w:bCs/>
          <w:sz w:val="24"/>
        </w:rPr>
        <w:t>日某类基金份额净值＝</w:t>
      </w:r>
      <w:r>
        <w:rPr>
          <w:bCs/>
          <w:sz w:val="24"/>
        </w:rPr>
        <w:t>T</w:t>
      </w:r>
      <w:r>
        <w:rPr>
          <w:rFonts w:hint="eastAsia"/>
          <w:bCs/>
          <w:sz w:val="24"/>
        </w:rPr>
        <w:t>日该类基金份额的基金资产净值</w:t>
      </w:r>
      <w:r>
        <w:rPr>
          <w:bCs/>
          <w:sz w:val="24"/>
        </w:rPr>
        <w:t>/T</w:t>
      </w:r>
      <w:r>
        <w:rPr>
          <w:rFonts w:hint="eastAsia"/>
          <w:bCs/>
          <w:sz w:val="24"/>
        </w:rPr>
        <w:t>日该类基金份额余额总数</w:t>
      </w:r>
      <w:r>
        <w:rPr>
          <w:bCs/>
          <w:sz w:val="24"/>
        </w:rPr>
        <w:t xml:space="preserve"> </w:t>
      </w:r>
    </w:p>
    <w:p>
      <w:pPr>
        <w:spacing w:line="360" w:lineRule="auto"/>
        <w:ind w:firstLine="480" w:firstLineChars="200"/>
        <w:rPr>
          <w:bCs/>
          <w:sz w:val="24"/>
        </w:rPr>
      </w:pPr>
      <w:r>
        <w:rPr>
          <w:rFonts w:hint="eastAsia"/>
          <w:bCs/>
          <w:sz w:val="24"/>
        </w:rPr>
        <w:t>基金份额净值的计算，精确到</w:t>
      </w:r>
      <w:r>
        <w:rPr>
          <w:bCs/>
          <w:sz w:val="24"/>
        </w:rPr>
        <w:t>0.00</w:t>
      </w:r>
      <w:r>
        <w:rPr>
          <w:rFonts w:hint="eastAsia"/>
          <w:bCs/>
          <w:sz w:val="24"/>
        </w:rPr>
        <w:t>0</w:t>
      </w:r>
      <w:r>
        <w:rPr>
          <w:bCs/>
          <w:sz w:val="24"/>
        </w:rPr>
        <w:t>1</w:t>
      </w:r>
      <w:r>
        <w:rPr>
          <w:rFonts w:hint="eastAsia"/>
          <w:bCs/>
          <w:sz w:val="24"/>
        </w:rPr>
        <w:t>元，小数点后第5位四舍五入。基金管理人可以设立大额赎回情形下的净值精度应急调整机制。国家另有规定的，从其规定。</w:t>
      </w:r>
      <w:r>
        <w:rPr>
          <w:bCs/>
          <w:sz w:val="24"/>
        </w:rPr>
        <w:t xml:space="preserve"> </w:t>
      </w:r>
    </w:p>
    <w:p>
      <w:pPr>
        <w:spacing w:line="360" w:lineRule="auto"/>
        <w:ind w:firstLine="480" w:firstLineChars="200"/>
        <w:rPr>
          <w:bCs/>
          <w:sz w:val="24"/>
        </w:rPr>
      </w:pPr>
      <w:r>
        <w:rPr>
          <w:rFonts w:hint="eastAsia"/>
          <w:bCs/>
          <w:sz w:val="24"/>
        </w:rPr>
        <w:t>基金管理人每个</w:t>
      </w:r>
      <w:r>
        <w:rPr>
          <w:bCs/>
          <w:sz w:val="24"/>
        </w:rPr>
        <w:t>估值</w:t>
      </w:r>
      <w:r>
        <w:rPr>
          <w:rFonts w:hint="eastAsia"/>
          <w:bCs/>
          <w:sz w:val="24"/>
        </w:rPr>
        <w:t>日计算基金资产净值及各类基金份额的基金份额净值，并按规定披露。</w:t>
      </w:r>
      <w:r>
        <w:rPr>
          <w:bCs/>
          <w:sz w:val="24"/>
        </w:rPr>
        <w:t xml:space="preserve"> </w:t>
      </w:r>
    </w:p>
    <w:p>
      <w:pPr>
        <w:spacing w:line="360" w:lineRule="auto"/>
        <w:ind w:firstLine="480" w:firstLineChars="200"/>
        <w:rPr>
          <w:bCs/>
          <w:sz w:val="24"/>
        </w:rPr>
      </w:pPr>
      <w:r>
        <w:rPr>
          <w:bCs/>
          <w:sz w:val="24"/>
        </w:rPr>
        <w:t>2、基金管理人应每个估值日对基金资产估值。但基金管理人根据法律法规或本基金合同的规定暂停估值时除外。基金管理人每个估值日对基金资产估值后，将</w:t>
      </w:r>
      <w:r>
        <w:rPr>
          <w:rFonts w:hint="eastAsia"/>
          <w:bCs/>
          <w:sz w:val="24"/>
        </w:rPr>
        <w:t>各类基金份额的</w:t>
      </w:r>
      <w:r>
        <w:rPr>
          <w:bCs/>
          <w:sz w:val="24"/>
        </w:rPr>
        <w:t>基金份额净值结果发送基金托管人，经基金托管人复核无误后，由基金管理人对外公布。</w:t>
      </w:r>
    </w:p>
    <w:p>
      <w:pPr>
        <w:spacing w:line="360" w:lineRule="auto"/>
        <w:ind w:firstLine="480" w:firstLineChars="200"/>
        <w:rPr>
          <w:bCs/>
          <w:sz w:val="24"/>
        </w:rPr>
      </w:pPr>
      <w:r>
        <w:rPr>
          <w:rFonts w:hint="eastAsia"/>
          <w:bCs/>
          <w:sz w:val="24"/>
        </w:rPr>
        <w:t>六</w:t>
      </w:r>
      <w:r>
        <w:rPr>
          <w:bCs/>
          <w:sz w:val="24"/>
        </w:rPr>
        <w:t>、估值错误的处理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基金管理人和基金托管人将采取必要、适当、合理的措施确保基金资产估值的准确性、及时性。当基金份额净值小数点后4位以内(含第4位)发生估值错误时，视为基金份额净值错误。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w:t>
      </w:r>
      <w:r>
        <w:rPr>
          <w:rFonts w:hint="eastAsia"/>
          <w:bCs/>
          <w:sz w:val="24"/>
        </w:rPr>
        <w:t>2</w:t>
      </w:r>
      <w:r>
        <w:rPr>
          <w:bCs/>
          <w:sz w:val="24"/>
        </w:rPr>
        <w:t>）错误偏差达到基金份额净值的0.25%时，基金管理人应当通报基金托管人并报中国证监会备案；错误偏差达到基金份额净值的0.5%时，基金管理人应当公告</w:t>
      </w:r>
      <w:r>
        <w:rPr>
          <w:rFonts w:hint="eastAsia"/>
          <w:bCs/>
          <w:sz w:val="24"/>
        </w:rPr>
        <w:t>，并报中国证监会备案</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pPr>
        <w:spacing w:line="360" w:lineRule="auto"/>
        <w:ind w:firstLine="480" w:firstLineChars="20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spacing w:line="360" w:lineRule="auto"/>
        <w:ind w:firstLine="480" w:firstLineChars="200"/>
        <w:rPr>
          <w:bCs/>
          <w:sz w:val="24"/>
        </w:rPr>
      </w:pPr>
      <w:r>
        <w:rPr>
          <w:rFonts w:hint="eastAsia"/>
          <w:bCs/>
          <w:sz w:val="24"/>
        </w:rPr>
        <w:t>②若基金管理人计算的基金份额净值已由基金托管人复核确认后披露，而且基金托管人未对计算过程提出疑义或要求基金管理人书面说明，基金份额净值出错且给基金份额持有人造成损失的，应根据法律法规的规定对投资者或基金支付赔偿金，就实际向投资者或基金支付的赔偿金额，基金管理人与基金托管人按照过错程度各自承担相应的责任，基金管理人和基金托管人有权向获得不当得利之主体主张返还不当得利。</w:t>
      </w:r>
    </w:p>
    <w:p>
      <w:pPr>
        <w:spacing w:line="360" w:lineRule="auto"/>
        <w:ind w:firstLine="480" w:firstLineChars="200"/>
        <w:rPr>
          <w:bCs/>
          <w:sz w:val="24"/>
        </w:rPr>
      </w:pPr>
      <w:r>
        <w:rPr>
          <w:rFonts w:hint="eastAsia"/>
          <w:bCs/>
          <w:sz w:val="24"/>
        </w:rPr>
        <w:t>③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pPr>
        <w:spacing w:line="360" w:lineRule="auto"/>
        <w:ind w:firstLine="480" w:firstLineChars="200"/>
        <w:rPr>
          <w:bCs/>
          <w:sz w:val="24"/>
        </w:rPr>
      </w:pPr>
      <w:r>
        <w:rPr>
          <w:rFonts w:hint="eastAsia"/>
          <w:bCs/>
          <w:sz w:val="24"/>
        </w:rPr>
        <w:t>④由于基金管理人提供的信息错误（包括但不限于基金申购或赎回金额等），基金托管人在履行正常复核程序后仍不能发现该错误，进而导致基金份额净值计算错误而引起的基金份额持有人和基金财产的损失，由基金管理人负责赔付。</w:t>
      </w:r>
    </w:p>
    <w:p>
      <w:pPr>
        <w:spacing w:line="360" w:lineRule="auto"/>
        <w:ind w:firstLine="480" w:firstLineChars="200"/>
        <w:rPr>
          <w:bCs/>
          <w:sz w:val="24"/>
        </w:rPr>
      </w:pPr>
      <w:r>
        <w:rPr>
          <w:rFonts w:hint="eastAsia"/>
          <w:bCs/>
          <w:sz w:val="24"/>
        </w:rPr>
        <w:t>（4）基金管理人和基金托管人由于各自技术系统设置而产生的净值计算尾差，以基金管理人计算结果为准。</w:t>
      </w:r>
    </w:p>
    <w:p>
      <w:pPr>
        <w:spacing w:line="360" w:lineRule="auto"/>
        <w:ind w:firstLine="480" w:firstLineChars="200"/>
        <w:rPr>
          <w:bCs/>
          <w:sz w:val="24"/>
        </w:rPr>
      </w:pPr>
      <w:r>
        <w:rPr>
          <w:rFonts w:hint="eastAsia"/>
          <w:bCs/>
          <w:sz w:val="24"/>
        </w:rPr>
        <w:t>（5）</w:t>
      </w:r>
      <w:r>
        <w:rPr>
          <w:bCs/>
          <w:sz w:val="24"/>
        </w:rPr>
        <w:t>前述内容如法律法规或监管机关另有规定的，从其规定处理。</w:t>
      </w:r>
      <w:r>
        <w:rPr>
          <w:rFonts w:hint="eastAsia"/>
          <w:bCs/>
          <w:sz w:val="24"/>
        </w:rPr>
        <w:t>如果行业另有通行做法，基金管理人和基金托管人应本着平等和保护基金份额持有人利益的原则进行协商。</w:t>
      </w:r>
    </w:p>
    <w:p>
      <w:pPr>
        <w:spacing w:line="360" w:lineRule="auto"/>
        <w:ind w:firstLine="480" w:firstLineChars="200"/>
        <w:rPr>
          <w:bCs/>
          <w:sz w:val="24"/>
        </w:rPr>
      </w:pPr>
      <w:r>
        <w:rPr>
          <w:rFonts w:hint="eastAsia"/>
          <w:bCs/>
          <w:sz w:val="24"/>
        </w:rPr>
        <w:t>七</w:t>
      </w:r>
      <w:r>
        <w:rPr>
          <w:bCs/>
          <w:sz w:val="24"/>
        </w:rPr>
        <w:t>、暂停估值的情形</w:t>
      </w:r>
    </w:p>
    <w:p>
      <w:pPr>
        <w:spacing w:line="360" w:lineRule="auto"/>
        <w:ind w:firstLine="480" w:firstLineChars="200"/>
        <w:rPr>
          <w:bCs/>
          <w:sz w:val="24"/>
        </w:rPr>
      </w:pPr>
      <w:r>
        <w:rPr>
          <w:bCs/>
          <w:sz w:val="24"/>
        </w:rPr>
        <w:t>1、基金投资所涉及的证券</w:t>
      </w:r>
      <w:r>
        <w:rPr>
          <w:rFonts w:hint="eastAsia"/>
          <w:bCs/>
          <w:sz w:val="24"/>
        </w:rPr>
        <w:t>、期货</w:t>
      </w:r>
      <w:r>
        <w:rPr>
          <w:bCs/>
          <w:sz w:val="24"/>
        </w:rPr>
        <w:t>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bCs/>
          <w:sz w:val="24"/>
        </w:rPr>
        <w:t>3、</w:t>
      </w:r>
      <w:r>
        <w:rPr>
          <w:rFonts w:hint="eastAsia"/>
          <w:bCs/>
          <w:sz w:val="24"/>
        </w:rPr>
        <w:t>当特定资产占前一估值日基金资产净值50%以上的，经与基金托管人协商确认后，基金管理人应当暂停估值；</w:t>
      </w:r>
    </w:p>
    <w:p>
      <w:pPr>
        <w:spacing w:line="360" w:lineRule="auto"/>
        <w:ind w:firstLine="480" w:firstLineChars="200"/>
        <w:rPr>
          <w:bCs/>
          <w:sz w:val="24"/>
        </w:rPr>
      </w:pPr>
      <w:r>
        <w:rPr>
          <w:rFonts w:hint="eastAsia"/>
          <w:bCs/>
          <w:sz w:val="24"/>
        </w:rPr>
        <w:t>4、</w:t>
      </w:r>
      <w:r>
        <w:rPr>
          <w:bCs/>
          <w:sz w:val="24"/>
        </w:rPr>
        <w:t>中国证监会和基金合同认定的其它情形。</w:t>
      </w:r>
    </w:p>
    <w:p>
      <w:pPr>
        <w:spacing w:line="360" w:lineRule="auto"/>
        <w:ind w:firstLine="480" w:firstLineChars="200"/>
        <w:rPr>
          <w:bCs/>
          <w:sz w:val="24"/>
        </w:rPr>
      </w:pPr>
      <w:r>
        <w:rPr>
          <w:rFonts w:hint="eastAsia"/>
          <w:bCs/>
          <w:sz w:val="24"/>
        </w:rPr>
        <w:t>八</w:t>
      </w:r>
      <w:r>
        <w:rPr>
          <w:bCs/>
          <w:sz w:val="24"/>
        </w:rPr>
        <w:t>、基金净值的确认</w:t>
      </w:r>
    </w:p>
    <w:p>
      <w:pPr>
        <w:spacing w:line="360" w:lineRule="auto"/>
        <w:ind w:firstLine="480" w:firstLineChars="20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基金份额净值由基金管理人负责计算，基金托管人负责进行复核。基金管理人应于每个估值日交易结束后计算当日的基金资产净值和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pPr>
        <w:spacing w:line="360" w:lineRule="auto"/>
        <w:ind w:firstLine="480" w:firstLineChars="200"/>
        <w:rPr>
          <w:bCs/>
          <w:sz w:val="24"/>
        </w:rPr>
      </w:pPr>
      <w:r>
        <w:rPr>
          <w:rFonts w:hint="eastAsia"/>
          <w:bCs/>
          <w:sz w:val="24"/>
        </w:rPr>
        <w:t xml:space="preserve">九、实施侧袋机制期间的基金资产估值 </w:t>
      </w:r>
    </w:p>
    <w:p>
      <w:pPr>
        <w:spacing w:line="360" w:lineRule="auto"/>
        <w:ind w:firstLine="480" w:firstLineChars="200"/>
        <w:rPr>
          <w:bCs/>
          <w:sz w:val="24"/>
        </w:rPr>
      </w:pPr>
      <w:r>
        <w:rPr>
          <w:rFonts w:hint="eastAsia"/>
          <w:bCs/>
          <w:sz w:val="24"/>
        </w:rPr>
        <w:t>本基金实施侧袋机制的，应根据本部分的约定对主袋账户资产进行估值并披露主袋账户的基金净值信息，暂停披露侧袋账户份额净值。</w:t>
      </w:r>
    </w:p>
    <w:p>
      <w:pPr>
        <w:spacing w:line="360" w:lineRule="auto"/>
        <w:ind w:firstLine="480" w:firstLineChars="200"/>
        <w:rPr>
          <w:bCs/>
          <w:sz w:val="24"/>
        </w:rPr>
      </w:pPr>
      <w:r>
        <w:rPr>
          <w:rFonts w:hint="eastAsia"/>
          <w:bCs/>
          <w:sz w:val="24"/>
        </w:rPr>
        <w:t>十、特殊情况的处理</w:t>
      </w:r>
    </w:p>
    <w:p>
      <w:pPr>
        <w:spacing w:line="360" w:lineRule="auto"/>
        <w:ind w:firstLine="480" w:firstLineChars="200"/>
        <w:rPr>
          <w:bCs/>
          <w:sz w:val="24"/>
        </w:rPr>
      </w:pPr>
      <w:r>
        <w:rPr>
          <w:rFonts w:hint="eastAsia"/>
          <w:bCs/>
          <w:sz w:val="24"/>
        </w:rPr>
        <w:t>1、基金管理人或基金托管人按估值方法的第</w:t>
      </w:r>
      <w:r>
        <w:rPr>
          <w:bCs/>
          <w:sz w:val="24"/>
        </w:rPr>
        <w:t>8</w:t>
      </w:r>
      <w:r>
        <w:rPr>
          <w:rFonts w:hint="eastAsia"/>
          <w:bCs/>
          <w:sz w:val="24"/>
        </w:rPr>
        <w:t>项进行估值时，所造成的误差不作为基金资产估值错误处理。</w:t>
      </w:r>
    </w:p>
    <w:p>
      <w:pPr>
        <w:spacing w:line="360" w:lineRule="auto"/>
        <w:ind w:firstLine="480" w:firstLineChars="200"/>
        <w:rPr>
          <w:bCs/>
          <w:sz w:val="24"/>
        </w:rPr>
      </w:pPr>
      <w:r>
        <w:rPr>
          <w:rFonts w:hint="eastAsia"/>
          <w:bCs/>
          <w:sz w:val="24"/>
        </w:rPr>
        <w:t>2、由于证券、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pPr>
        <w:pStyle w:val="2"/>
        <w:spacing w:before="0" w:after="0"/>
        <w:jc w:val="center"/>
        <w:rPr>
          <w:rFonts w:ascii="Times New Roman"/>
          <w:color w:val="auto"/>
          <w:sz w:val="30"/>
        </w:rPr>
      </w:pPr>
      <w:r>
        <w:rPr>
          <w:rFonts w:ascii="Times New Roman"/>
          <w:b w:val="0"/>
          <w:bCs/>
          <w:color w:val="auto"/>
          <w:sz w:val="30"/>
        </w:rPr>
        <w:br w:type="page"/>
      </w:r>
      <w:bookmarkStart w:id="320" w:name="_Toc19706"/>
      <w:bookmarkStart w:id="321" w:name="_Toc3365"/>
      <w:bookmarkStart w:id="322" w:name="_Toc19173710"/>
      <w:bookmarkStart w:id="323" w:name="_Toc19752"/>
      <w:bookmarkStart w:id="324" w:name="_Toc32227"/>
      <w:bookmarkStart w:id="325" w:name="_Toc15779"/>
      <w:bookmarkStart w:id="326" w:name="_Toc13987"/>
      <w:bookmarkStart w:id="327" w:name="_Toc12105"/>
      <w:bookmarkStart w:id="328" w:name="_Toc6493"/>
      <w:bookmarkStart w:id="329" w:name="_Toc32041"/>
      <w:bookmarkStart w:id="330" w:name="_Toc24601"/>
      <w:r>
        <w:rPr>
          <w:rFonts w:ascii="Times New Roman"/>
          <w:color w:val="auto"/>
          <w:sz w:val="30"/>
        </w:rPr>
        <w:t>第十五部分  基金费用与税收</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w:t>
      </w:r>
      <w:r>
        <w:rPr>
          <w:rFonts w:hint="eastAsia"/>
          <w:bCs/>
          <w:sz w:val="24"/>
        </w:rPr>
        <w:t>从C类基金份额的基金财产中计提的销售服务费；</w:t>
      </w:r>
    </w:p>
    <w:p>
      <w:pPr>
        <w:spacing w:line="360" w:lineRule="auto"/>
        <w:ind w:firstLine="480" w:firstLineChars="200"/>
        <w:rPr>
          <w:bCs/>
          <w:sz w:val="24"/>
        </w:rPr>
      </w:pPr>
      <w:r>
        <w:rPr>
          <w:rFonts w:hint="eastAsia"/>
          <w:bCs/>
          <w:sz w:val="24"/>
        </w:rPr>
        <w:t>4、</w:t>
      </w:r>
      <w:r>
        <w:rPr>
          <w:bCs/>
          <w:sz w:val="24"/>
        </w:rPr>
        <w:t>《基金合同》生效后与基金相关的信息披露费用；</w:t>
      </w:r>
    </w:p>
    <w:p>
      <w:pPr>
        <w:spacing w:line="360" w:lineRule="auto"/>
        <w:ind w:firstLine="480" w:firstLineChars="20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pPr>
        <w:spacing w:line="360" w:lineRule="auto"/>
        <w:ind w:firstLine="480" w:firstLineChars="200"/>
        <w:rPr>
          <w:bCs/>
          <w:sz w:val="24"/>
        </w:rPr>
      </w:pPr>
      <w:r>
        <w:rPr>
          <w:rFonts w:hint="eastAsia"/>
          <w:bCs/>
          <w:sz w:val="24"/>
        </w:rPr>
        <w:t>6</w:t>
      </w:r>
      <w:r>
        <w:rPr>
          <w:bCs/>
          <w:sz w:val="24"/>
        </w:rPr>
        <w:t>、基金份额持有人大会费用；</w:t>
      </w:r>
    </w:p>
    <w:p>
      <w:pPr>
        <w:spacing w:line="360" w:lineRule="auto"/>
        <w:ind w:firstLine="480" w:firstLineChars="200"/>
        <w:rPr>
          <w:bCs/>
          <w:sz w:val="24"/>
        </w:rPr>
      </w:pPr>
      <w:r>
        <w:rPr>
          <w:rFonts w:hint="eastAsia"/>
          <w:bCs/>
          <w:sz w:val="24"/>
        </w:rPr>
        <w:t>7</w:t>
      </w:r>
      <w:r>
        <w:rPr>
          <w:bCs/>
          <w:sz w:val="24"/>
        </w:rPr>
        <w:t>、基金的证券</w:t>
      </w:r>
      <w:r>
        <w:rPr>
          <w:rFonts w:hint="eastAsia"/>
          <w:bCs/>
          <w:sz w:val="24"/>
        </w:rPr>
        <w:t>、期货</w:t>
      </w:r>
      <w:r>
        <w:rPr>
          <w:bCs/>
          <w:sz w:val="24"/>
        </w:rPr>
        <w:t>交易费用；</w:t>
      </w:r>
    </w:p>
    <w:p>
      <w:pPr>
        <w:spacing w:line="360" w:lineRule="auto"/>
        <w:ind w:firstLine="480" w:firstLineChars="200"/>
        <w:rPr>
          <w:bCs/>
          <w:sz w:val="24"/>
        </w:rPr>
      </w:pPr>
      <w:r>
        <w:rPr>
          <w:rFonts w:hint="eastAsia"/>
          <w:bCs/>
          <w:sz w:val="24"/>
        </w:rPr>
        <w:t>8</w:t>
      </w:r>
      <w:r>
        <w:rPr>
          <w:bCs/>
          <w:sz w:val="24"/>
        </w:rPr>
        <w:t>、基金的银行汇划费用；</w:t>
      </w:r>
    </w:p>
    <w:p>
      <w:pPr>
        <w:spacing w:line="360" w:lineRule="auto"/>
        <w:ind w:firstLine="480" w:firstLineChars="200"/>
        <w:rPr>
          <w:bCs/>
          <w:sz w:val="24"/>
        </w:rPr>
      </w:pPr>
      <w:r>
        <w:rPr>
          <w:rFonts w:hint="eastAsia"/>
          <w:bCs/>
          <w:sz w:val="24"/>
        </w:rPr>
        <w:t>9</w:t>
      </w:r>
      <w:r>
        <w:rPr>
          <w:bCs/>
          <w:sz w:val="24"/>
        </w:rPr>
        <w:t>、</w:t>
      </w:r>
      <w:r>
        <w:rPr>
          <w:rFonts w:hint="eastAsia"/>
          <w:bCs/>
          <w:sz w:val="24"/>
        </w:rPr>
        <w:t>基金的开户费用、账户维护费用；</w:t>
      </w:r>
    </w:p>
    <w:p>
      <w:pPr>
        <w:spacing w:line="360" w:lineRule="auto"/>
        <w:ind w:firstLine="480" w:firstLineChars="200"/>
        <w:rPr>
          <w:bCs/>
          <w:sz w:val="24"/>
        </w:rPr>
      </w:pPr>
      <w:r>
        <w:rPr>
          <w:rFonts w:hint="eastAsia"/>
          <w:bCs/>
          <w:sz w:val="24"/>
        </w:rPr>
        <w:t>10</w:t>
      </w:r>
      <w:r>
        <w:rPr>
          <w:bCs/>
          <w:sz w:val="24"/>
        </w:rPr>
        <w:t>、按照国家有关规定和《基金合同》约定，可以在基金财产中列支的其他费用。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 xml:space="preserve">1、基金管理人的管理费 </w:t>
      </w:r>
    </w:p>
    <w:p>
      <w:pPr>
        <w:spacing w:line="360" w:lineRule="auto"/>
        <w:ind w:firstLine="480" w:firstLineChars="200"/>
        <w:rPr>
          <w:bCs/>
          <w:sz w:val="24"/>
        </w:rPr>
      </w:pPr>
      <w:r>
        <w:rPr>
          <w:bCs/>
          <w:sz w:val="24"/>
        </w:rPr>
        <w:t>本基金的管理费按前一日基金资产净值的</w:t>
      </w:r>
      <w:r>
        <w:rPr>
          <w:rFonts w:hint="eastAsia"/>
          <w:bCs/>
          <w:sz w:val="24"/>
        </w:rPr>
        <w:t>0.80</w:t>
      </w:r>
      <w:r>
        <w:rPr>
          <w:bCs/>
          <w:sz w:val="24"/>
        </w:rPr>
        <w:t>%年费率计提。管理费的计算方法如下：</w:t>
      </w:r>
    </w:p>
    <w:p>
      <w:pPr>
        <w:spacing w:line="360" w:lineRule="auto"/>
        <w:ind w:firstLine="480" w:firstLineChars="200"/>
        <w:rPr>
          <w:bCs/>
          <w:sz w:val="24"/>
        </w:rPr>
      </w:pPr>
      <w:r>
        <w:rPr>
          <w:bCs/>
          <w:sz w:val="24"/>
        </w:rPr>
        <w:t>H＝E×0.80%÷当年天数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0.20</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rPr>
        <w:t>0.20</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rFonts w:hint="eastAsia"/>
          <w:bCs/>
          <w:sz w:val="24"/>
        </w:rPr>
        <w:t>3、销售服务费</w:t>
      </w:r>
    </w:p>
    <w:p>
      <w:pPr>
        <w:spacing w:line="360" w:lineRule="auto"/>
        <w:ind w:firstLine="480" w:firstLineChars="200"/>
        <w:rPr>
          <w:bCs/>
          <w:sz w:val="24"/>
        </w:rPr>
      </w:pPr>
      <w:r>
        <w:rPr>
          <w:rFonts w:hint="eastAsia"/>
          <w:bCs/>
          <w:sz w:val="24"/>
        </w:rPr>
        <w:t>本基金 A类基金份额不收取销售服务费， C类基金份额的销售服务费按前一日C类基金份额资产净值的0.50%年费率计提。计算方法如下：</w:t>
      </w:r>
    </w:p>
    <w:p>
      <w:pPr>
        <w:spacing w:line="360" w:lineRule="auto"/>
        <w:ind w:firstLine="480" w:firstLineChars="200"/>
        <w:rPr>
          <w:bCs/>
          <w:sz w:val="24"/>
        </w:rPr>
      </w:pPr>
      <w:r>
        <w:rPr>
          <w:rFonts w:hint="eastAsia"/>
          <w:bCs/>
          <w:sz w:val="24"/>
        </w:rPr>
        <w:t>H＝E×0.50%÷当年天数</w:t>
      </w:r>
    </w:p>
    <w:p>
      <w:pPr>
        <w:spacing w:line="360" w:lineRule="auto"/>
        <w:ind w:firstLine="480" w:firstLineChars="200"/>
        <w:rPr>
          <w:bCs/>
          <w:sz w:val="24"/>
        </w:rPr>
      </w:pPr>
      <w:r>
        <w:rPr>
          <w:rFonts w:hint="eastAsia"/>
          <w:bCs/>
          <w:sz w:val="24"/>
        </w:rPr>
        <w:t>H为C类基金份额每日应计提的销售服务费</w:t>
      </w:r>
    </w:p>
    <w:p>
      <w:pPr>
        <w:spacing w:line="360" w:lineRule="auto"/>
        <w:ind w:firstLine="480" w:firstLineChars="200"/>
        <w:rPr>
          <w:bCs/>
          <w:sz w:val="24"/>
        </w:rPr>
      </w:pPr>
      <w:r>
        <w:rPr>
          <w:rFonts w:hint="eastAsia"/>
          <w:bCs/>
          <w:sz w:val="24"/>
        </w:rPr>
        <w:t>E为C类基金份额前一日基金资产净值</w:t>
      </w:r>
    </w:p>
    <w:p>
      <w:pPr>
        <w:spacing w:line="360" w:lineRule="auto"/>
        <w:ind w:firstLine="480" w:firstLineChars="200"/>
        <w:rPr>
          <w:bCs/>
          <w:sz w:val="24"/>
        </w:rPr>
      </w:pPr>
      <w:r>
        <w:rPr>
          <w:rFonts w:hint="eastAsia"/>
          <w:bCs/>
          <w:sz w:val="24"/>
        </w:rPr>
        <w:t>C类基金份额的销售服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rFonts w:hint="eastAsia"/>
          <w:bCs/>
          <w:sz w:val="24"/>
        </w:rPr>
        <w:t>销售服务费主要用于支付销售机构佣金、以及基金管理人的基金行销广告费、促销活动费、基金份额持有人服务费等。</w:t>
      </w:r>
    </w:p>
    <w:p>
      <w:pPr>
        <w:spacing w:line="360" w:lineRule="auto"/>
        <w:ind w:firstLine="480" w:firstLineChars="200"/>
        <w:rPr>
          <w:bCs/>
          <w:sz w:val="24"/>
        </w:rPr>
      </w:pPr>
      <w:r>
        <w:rPr>
          <w:bCs/>
          <w:sz w:val="24"/>
        </w:rPr>
        <w:t>上述</w:t>
      </w:r>
      <w:r>
        <w:rPr>
          <w:rFonts w:asciiTheme="minorEastAsia" w:hAnsiTheme="minorEastAsia" w:eastAsiaTheme="minor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bookmarkStart w:id="331" w:name="_Hlt88827255"/>
      <w:bookmarkEnd w:id="331"/>
    </w:p>
    <w:p>
      <w:pPr>
        <w:spacing w:line="360" w:lineRule="auto"/>
        <w:ind w:firstLine="480" w:firstLineChars="200"/>
        <w:rPr>
          <w:bCs/>
          <w:sz w:val="24"/>
        </w:rPr>
      </w:pPr>
      <w:r>
        <w:rPr>
          <w:rFonts w:hint="eastAsia"/>
          <w:bCs/>
          <w:sz w:val="24"/>
        </w:rPr>
        <w:t xml:space="preserve">四、实施侧袋机制期间的基金费用 </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sz w:val="24"/>
        </w:rPr>
      </w:pPr>
      <w:r>
        <w:rPr>
          <w:rFonts w:hint="eastAsia"/>
          <w:bCs/>
          <w:sz w:val="24"/>
        </w:rPr>
        <w:t>五</w:t>
      </w:r>
      <w:r>
        <w:rPr>
          <w:bCs/>
          <w:sz w:val="24"/>
        </w:rPr>
        <w:t>、基金税收</w:t>
      </w:r>
    </w:p>
    <w:p>
      <w:pPr>
        <w:spacing w:line="360" w:lineRule="auto"/>
        <w:ind w:firstLine="480" w:firstLineChars="20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pPr>
        <w:spacing w:line="360" w:lineRule="auto"/>
        <w:ind w:firstLine="480" w:firstLineChars="200"/>
        <w:rPr>
          <w:bCs/>
          <w:sz w:val="24"/>
        </w:rPr>
      </w:pPr>
    </w:p>
    <w:p>
      <w:pPr>
        <w:spacing w:line="360" w:lineRule="auto"/>
        <w:ind w:firstLine="480" w:firstLineChars="200"/>
        <w:rPr>
          <w:bCs/>
          <w:sz w:val="24"/>
        </w:rPr>
      </w:pPr>
    </w:p>
    <w:p>
      <w:pPr>
        <w:pStyle w:val="2"/>
        <w:ind w:firstLine="420"/>
        <w:jc w:val="center"/>
        <w:rPr>
          <w:sz w:val="30"/>
        </w:rPr>
      </w:pPr>
      <w:bookmarkStart w:id="332" w:name="_Toc92662707"/>
      <w:bookmarkStart w:id="333" w:name="_Toc93226149"/>
      <w:bookmarkStart w:id="334" w:name="_Toc141703896"/>
      <w:bookmarkStart w:id="335" w:name="_Toc128310499"/>
      <w:bookmarkStart w:id="336" w:name="_Toc139991746"/>
      <w:bookmarkStart w:id="337" w:name="_Toc22552"/>
      <w:r>
        <w:br w:type="page"/>
      </w:r>
      <w:bookmarkStart w:id="338" w:name="_Toc1617"/>
      <w:bookmarkStart w:id="339" w:name="_Toc15351"/>
      <w:bookmarkStart w:id="340" w:name="_Toc12761"/>
      <w:bookmarkStart w:id="341" w:name="_Toc20052"/>
      <w:bookmarkStart w:id="342" w:name="_Toc19173711"/>
      <w:bookmarkStart w:id="343" w:name="_Toc21829"/>
      <w:bookmarkStart w:id="344" w:name="_Toc19558"/>
      <w:bookmarkStart w:id="345" w:name="_Toc178"/>
      <w:bookmarkStart w:id="346" w:name="_Toc3656"/>
      <w:bookmarkStart w:id="347" w:name="_Toc25883"/>
      <w:bookmarkStart w:id="348" w:name="_Toc15525"/>
      <w:r>
        <w:rPr>
          <w:rFonts w:hint="eastAsia"/>
          <w:sz w:val="30"/>
        </w:rPr>
        <w:t>第十六部分</w:t>
      </w:r>
      <w:r>
        <w:rPr>
          <w:sz w:val="30"/>
        </w:rPr>
        <w:t xml:space="preserve">  </w:t>
      </w:r>
      <w:r>
        <w:rPr>
          <w:rFonts w:hint="eastAsia"/>
          <w:sz w:val="30"/>
        </w:rPr>
        <w:t>基金</w:t>
      </w:r>
      <w:bookmarkEnd w:id="332"/>
      <w:bookmarkEnd w:id="333"/>
      <w:r>
        <w:rPr>
          <w:rFonts w:hint="eastAsia"/>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rPr>
          <w:bCs/>
        </w:rPr>
      </w:pPr>
    </w:p>
    <w:p>
      <w:pPr>
        <w:spacing w:line="360" w:lineRule="auto"/>
        <w:ind w:firstLine="540" w:firstLineChars="225"/>
        <w:rPr>
          <w:bCs/>
          <w:sz w:val="24"/>
        </w:rPr>
      </w:pPr>
      <w:r>
        <w:rPr>
          <w:bCs/>
          <w:sz w:val="24"/>
        </w:rPr>
        <w:t>一、基金利润的构成</w:t>
      </w:r>
    </w:p>
    <w:p>
      <w:pPr>
        <w:spacing w:line="360" w:lineRule="auto"/>
        <w:ind w:firstLine="540" w:firstLineChars="225"/>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sz w:val="24"/>
        </w:rPr>
      </w:pPr>
      <w:r>
        <w:rPr>
          <w:bCs/>
          <w:sz w:val="24"/>
        </w:rPr>
        <w:t>二、基金可供分配利润</w:t>
      </w:r>
    </w:p>
    <w:p>
      <w:pPr>
        <w:spacing w:line="360" w:lineRule="auto"/>
        <w:ind w:firstLine="540" w:firstLineChars="225"/>
        <w:rPr>
          <w:bCs/>
          <w:sz w:val="24"/>
        </w:rPr>
      </w:pPr>
      <w:r>
        <w:rPr>
          <w:bCs/>
          <w:sz w:val="24"/>
        </w:rPr>
        <w:t>基金可供分配利润指截至收益分配基准日基金未分配利润与未分配利润中已实现收益的孰低数。</w:t>
      </w:r>
    </w:p>
    <w:p>
      <w:pPr>
        <w:tabs>
          <w:tab w:val="left" w:pos="3828"/>
        </w:tabs>
        <w:spacing w:line="360" w:lineRule="auto"/>
        <w:ind w:firstLine="424" w:firstLineChars="177"/>
        <w:rPr>
          <w:bCs/>
          <w:sz w:val="24"/>
        </w:rPr>
      </w:pPr>
      <w:r>
        <w:rPr>
          <w:bCs/>
          <w:sz w:val="24"/>
        </w:rPr>
        <w:t>三、基金收益分配原则</w:t>
      </w:r>
    </w:p>
    <w:p>
      <w:pPr>
        <w:spacing w:line="360" w:lineRule="auto"/>
        <w:ind w:firstLine="424" w:firstLineChars="177"/>
        <w:rPr>
          <w:bCs/>
          <w:sz w:val="24"/>
        </w:rPr>
      </w:pPr>
      <w:r>
        <w:rPr>
          <w:rFonts w:hint="eastAsia"/>
          <w:bCs/>
          <w:sz w:val="24"/>
        </w:rPr>
        <w:t>1</w:t>
      </w:r>
      <w:r>
        <w:rPr>
          <w:bCs/>
          <w:sz w:val="24"/>
        </w:rPr>
        <w:t>、在符合有关基金分红条件的前提下，基金管理人可以根据实际情况进行收益分配，具体分配方案以公告为准，若《基金合同》生效不满3个月可不进行收益分配；</w:t>
      </w:r>
    </w:p>
    <w:p>
      <w:pPr>
        <w:spacing w:line="360" w:lineRule="auto"/>
        <w:ind w:firstLine="424" w:firstLineChars="177"/>
        <w:rPr>
          <w:bCs/>
          <w:sz w:val="24"/>
        </w:rPr>
      </w:pPr>
      <w:r>
        <w:rPr>
          <w:bCs/>
          <w:sz w:val="24"/>
        </w:rPr>
        <w:t>2、本基金收益分配方式分两种：现金分红与红利再投资，投资者可选择现金红利或将现金红利自动转为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基金份额持有人可对其持有的A类、C类基金份额分别选择不同的收益分配方式；</w:t>
      </w:r>
    </w:p>
    <w:p>
      <w:pPr>
        <w:spacing w:line="360" w:lineRule="auto"/>
        <w:ind w:firstLine="424" w:firstLineChars="177"/>
        <w:rPr>
          <w:bCs/>
          <w:sz w:val="24"/>
        </w:rPr>
      </w:pPr>
      <w:r>
        <w:rPr>
          <w:rFonts w:hint="eastAsia"/>
          <w:bCs/>
          <w:sz w:val="24"/>
        </w:rPr>
        <w:t>同一投资人持有的同一类别的基金份额只能选择一种分红方式，如投资人在不同销售机构选择的分红方式不同，则基金登记机构将以投资人最后一次选择的分红方式为准；</w:t>
      </w:r>
    </w:p>
    <w:p>
      <w:pPr>
        <w:spacing w:line="360" w:lineRule="auto"/>
        <w:ind w:firstLine="424" w:firstLineChars="177"/>
        <w:rPr>
          <w:bCs/>
          <w:sz w:val="24"/>
        </w:rPr>
      </w:pPr>
      <w:r>
        <w:rPr>
          <w:rFonts w:hint="eastAsia"/>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pPr>
        <w:spacing w:line="360" w:lineRule="auto"/>
        <w:ind w:firstLine="424" w:firstLineChars="177"/>
        <w:rPr>
          <w:bCs/>
          <w:sz w:val="24"/>
        </w:rPr>
      </w:pPr>
      <w:r>
        <w:rPr>
          <w:rFonts w:hint="eastAsia"/>
          <w:bCs/>
          <w:sz w:val="24"/>
        </w:rPr>
        <w:t>4</w:t>
      </w:r>
      <w:r>
        <w:rPr>
          <w:bCs/>
          <w:sz w:val="24"/>
        </w:rPr>
        <w:t>、</w:t>
      </w:r>
      <w:r>
        <w:rPr>
          <w:rFonts w:hint="eastAsia"/>
          <w:bCs/>
          <w:sz w:val="24"/>
        </w:rPr>
        <w:t>同一类别</w:t>
      </w:r>
      <w:r>
        <w:rPr>
          <w:bCs/>
          <w:sz w:val="24"/>
        </w:rPr>
        <w:t>每一基金份额享有同等分配权；</w:t>
      </w:r>
      <w:r>
        <w:rPr>
          <w:rFonts w:hint="eastAsia"/>
          <w:bCs/>
          <w:sz w:val="24"/>
        </w:rPr>
        <w:t>由于本基金A类基金份额不收取销售服务费，而C类基金份额收取销售服务费，各基金份额类别对应的可分配收益将有所不同；</w:t>
      </w:r>
    </w:p>
    <w:p>
      <w:pPr>
        <w:spacing w:line="360" w:lineRule="auto"/>
        <w:ind w:firstLine="424" w:firstLineChars="177"/>
        <w:rPr>
          <w:bCs/>
          <w:sz w:val="24"/>
        </w:rPr>
      </w:pPr>
      <w:r>
        <w:rPr>
          <w:rFonts w:hint="eastAsia"/>
          <w:bCs/>
          <w:sz w:val="24"/>
        </w:rPr>
        <w:t>5</w:t>
      </w:r>
      <w:r>
        <w:rPr>
          <w:bCs/>
          <w:sz w:val="24"/>
        </w:rPr>
        <w:t>、法律法规或监管机关另有规定的，从其规定。</w:t>
      </w:r>
    </w:p>
    <w:p>
      <w:pPr>
        <w:spacing w:line="360" w:lineRule="auto"/>
        <w:ind w:firstLine="424" w:firstLineChars="177"/>
        <w:rPr>
          <w:bCs/>
          <w:sz w:val="24"/>
        </w:rPr>
      </w:pPr>
      <w:r>
        <w:rPr>
          <w:rFonts w:hint="eastAsia"/>
          <w:bCs/>
          <w:sz w:val="24"/>
        </w:rPr>
        <w:t>法律法规或监管机构另有规定的，基金管理人在履行适当程序后，将对上述基金收益分配政策进行调整。</w:t>
      </w:r>
      <w:r>
        <w:rPr>
          <w:rFonts w:hint="eastAsia"/>
          <w:bCs/>
          <w:sz w:val="24"/>
        </w:rPr>
        <w:tab/>
      </w:r>
    </w:p>
    <w:p>
      <w:pPr>
        <w:spacing w:line="360" w:lineRule="auto"/>
        <w:ind w:firstLine="540" w:firstLineChars="225"/>
        <w:rPr>
          <w:bCs/>
          <w:sz w:val="24"/>
        </w:rPr>
      </w:pPr>
      <w:r>
        <w:rPr>
          <w:bCs/>
          <w:sz w:val="24"/>
        </w:rPr>
        <w:t>四、收益分配方案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依据相关规定</w:t>
      </w:r>
      <w:r>
        <w:rPr>
          <w:bCs/>
          <w:sz w:val="24"/>
        </w:rPr>
        <w:t>在规定媒介公告。</w:t>
      </w:r>
    </w:p>
    <w:p>
      <w:pPr>
        <w:spacing w:line="360" w:lineRule="auto"/>
        <w:ind w:firstLine="540" w:firstLineChars="225"/>
        <w:rPr>
          <w:bCs/>
          <w:sz w:val="24"/>
        </w:rPr>
      </w:pPr>
      <w:r>
        <w:rPr>
          <w:bCs/>
          <w:sz w:val="24"/>
        </w:rPr>
        <w:t>六、基金收益分配中发生的费用</w:t>
      </w:r>
    </w:p>
    <w:p>
      <w:pPr>
        <w:spacing w:line="360" w:lineRule="auto"/>
        <w:ind w:firstLine="540" w:firstLineChars="225"/>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pPr>
        <w:spacing w:line="360" w:lineRule="auto"/>
        <w:ind w:firstLine="540" w:firstLineChars="225"/>
        <w:rPr>
          <w:bCs/>
          <w:sz w:val="24"/>
        </w:rPr>
      </w:pPr>
      <w:r>
        <w:rPr>
          <w:rFonts w:hint="eastAsia"/>
          <w:bCs/>
          <w:sz w:val="24"/>
        </w:rPr>
        <w:t xml:space="preserve">七、实施侧袋机制期间的收益分配 </w:t>
      </w:r>
    </w:p>
    <w:p>
      <w:pPr>
        <w:spacing w:line="360" w:lineRule="auto"/>
        <w:ind w:firstLine="540" w:firstLineChars="225"/>
        <w:rPr>
          <w:bCs/>
          <w:sz w:val="24"/>
        </w:rPr>
      </w:pPr>
      <w:r>
        <w:rPr>
          <w:rFonts w:hint="eastAsia"/>
          <w:bCs/>
          <w:sz w:val="24"/>
        </w:rPr>
        <w:t>本基金实施侧袋机制的，侧袋账户不进行收益分配，详见招募说明书的规定。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349" w:name="_Toc93226150"/>
      <w:bookmarkStart w:id="350" w:name="_Toc92662708"/>
      <w:bookmarkStart w:id="351" w:name="_Toc128310500"/>
      <w:bookmarkStart w:id="352" w:name="_Toc1043"/>
      <w:bookmarkStart w:id="353" w:name="_Toc13255"/>
      <w:bookmarkStart w:id="354" w:name="_Toc17499"/>
      <w:bookmarkStart w:id="355" w:name="_Toc28961"/>
      <w:bookmarkStart w:id="356" w:name="_Toc10894"/>
      <w:bookmarkStart w:id="357" w:name="_Toc18007"/>
      <w:bookmarkStart w:id="358" w:name="_Toc19173712"/>
      <w:bookmarkStart w:id="359" w:name="_Toc139991747"/>
      <w:bookmarkStart w:id="360" w:name="_Toc31736"/>
      <w:bookmarkStart w:id="361" w:name="_Toc29695"/>
      <w:bookmarkStart w:id="362" w:name="_Toc23859"/>
      <w:bookmarkStart w:id="363" w:name="_Toc21206"/>
      <w:bookmarkStart w:id="364" w:name="_Toc18747"/>
      <w:bookmarkStart w:id="365" w:name="_Toc141703897"/>
      <w:r>
        <w:rPr>
          <w:rFonts w:ascii="Times New Roman"/>
          <w:color w:val="auto"/>
          <w:sz w:val="30"/>
        </w:rPr>
        <w:t>第十七部分  基金</w:t>
      </w:r>
      <w:bookmarkEnd w:id="349"/>
      <w:bookmarkEnd w:id="350"/>
      <w:r>
        <w:rPr>
          <w:rFonts w:ascii="Times New Roman"/>
          <w:color w:val="auto"/>
          <w:sz w:val="30"/>
        </w:rPr>
        <w:t>的会计与审计</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2、基金的会计年度为公历年度的1月1日至12月31日；基金首次募集的会计年度按如下原则：如果《基金合同》生效少于2个月，可以并入下一个会计年度披露；</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7、基金托管人每月与基金管理人就基金的会计核算、报表编制等进行核对并以书面方式确认。</w:t>
      </w: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1、基金管理人聘请与基金管理人、基金托管人相互独立的符合《中华人民共和国证券法》规定的会计师事务所及其注册会计师对本基金的年度财务报表进行审计。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r>
        <w:rPr>
          <w:bCs/>
          <w:sz w:val="24"/>
        </w:rPr>
        <w:t>3、</w:t>
      </w:r>
      <w:bookmarkStart w:id="366" w:name="_Hlt4221115"/>
      <w:bookmarkEnd w:id="366"/>
      <w:r>
        <w:rPr>
          <w:bCs/>
          <w:sz w:val="24"/>
        </w:rPr>
        <w:t>基金管理人认为有充足理由更换会计师事务所，须通报基金托管人。更换会计师事务所需在2日内在</w:t>
      </w:r>
      <w:r>
        <w:rPr>
          <w:rFonts w:hint="eastAsia"/>
          <w:bCs/>
          <w:sz w:val="24"/>
        </w:rPr>
        <w:t>规定媒介</w:t>
      </w:r>
      <w:r>
        <w:rPr>
          <w:bCs/>
          <w:sz w:val="24"/>
        </w:rPr>
        <w:t>公告。</w:t>
      </w:r>
    </w:p>
    <w:p>
      <w:pPr>
        <w:pStyle w:val="2"/>
        <w:spacing w:before="0" w:after="0"/>
        <w:jc w:val="center"/>
        <w:rPr>
          <w:rFonts w:ascii="Times New Roman"/>
          <w:color w:val="auto"/>
          <w:sz w:val="30"/>
        </w:rPr>
      </w:pPr>
      <w:r>
        <w:rPr>
          <w:rFonts w:ascii="Times New Roman"/>
          <w:b w:val="0"/>
          <w:bCs/>
          <w:color w:val="auto"/>
        </w:rPr>
        <w:br w:type="page"/>
      </w:r>
      <w:bookmarkStart w:id="367" w:name="_Toc93226151"/>
      <w:bookmarkStart w:id="368" w:name="_Toc92662709"/>
      <w:bookmarkStart w:id="369" w:name="_Toc21351"/>
      <w:bookmarkStart w:id="370" w:name="_Toc1173"/>
      <w:bookmarkStart w:id="371" w:name="_Toc11049"/>
      <w:bookmarkStart w:id="372" w:name="_Toc12028"/>
      <w:bookmarkStart w:id="373" w:name="_Toc31866"/>
      <w:bookmarkStart w:id="374" w:name="_Toc29289"/>
      <w:bookmarkStart w:id="375" w:name="_Toc11802"/>
      <w:bookmarkStart w:id="376" w:name="_Toc19173713"/>
      <w:bookmarkStart w:id="377" w:name="_Toc1421"/>
      <w:bookmarkStart w:id="378" w:name="_Toc3056"/>
      <w:bookmarkStart w:id="379" w:name="_Toc139991748"/>
      <w:bookmarkStart w:id="380" w:name="_Toc193"/>
      <w:bookmarkStart w:id="381" w:name="_Toc128310501"/>
      <w:bookmarkStart w:id="382" w:name="_Toc141703898"/>
      <w:bookmarkStart w:id="383" w:name="_Toc8512"/>
      <w:r>
        <w:rPr>
          <w:rFonts w:ascii="Times New Roman"/>
          <w:color w:val="auto"/>
          <w:sz w:val="30"/>
        </w:rPr>
        <w:t>第十八部分  基金</w:t>
      </w:r>
      <w:bookmarkEnd w:id="367"/>
      <w:bookmarkEnd w:id="368"/>
      <w:r>
        <w:rPr>
          <w:rFonts w:ascii="Times New Roman"/>
          <w:color w:val="auto"/>
          <w:sz w:val="30"/>
        </w:rPr>
        <w:t>的信息披露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spacing w:line="360" w:lineRule="auto"/>
        <w:ind w:firstLine="480" w:firstLineChars="200"/>
        <w:rPr>
          <w:bCs/>
          <w:sz w:val="24"/>
        </w:rPr>
      </w:pPr>
    </w:p>
    <w:p>
      <w:pPr>
        <w:spacing w:line="360" w:lineRule="auto"/>
        <w:ind w:firstLine="480" w:firstLineChars="200"/>
        <w:rPr>
          <w:bCs/>
          <w:sz w:val="24"/>
        </w:rPr>
      </w:pPr>
      <w:r>
        <w:rPr>
          <w:bCs/>
          <w:sz w:val="24"/>
        </w:rPr>
        <w:t>一、</w:t>
      </w:r>
      <w:r>
        <w:rPr>
          <w:rFonts w:hint="eastAsia"/>
          <w:bCs/>
          <w:sz w:val="24"/>
        </w:rPr>
        <w:t>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pPr>
        <w:spacing w:line="360" w:lineRule="auto"/>
        <w:ind w:firstLine="480" w:firstLineChars="200"/>
        <w:rPr>
          <w:bCs/>
          <w:sz w:val="24"/>
        </w:rPr>
      </w:pPr>
      <w:r>
        <w:rPr>
          <w:bCs/>
          <w:sz w:val="24"/>
        </w:rPr>
        <w:t>二、信息披露义务人</w:t>
      </w:r>
    </w:p>
    <w:p>
      <w:pPr>
        <w:spacing w:line="360" w:lineRule="auto"/>
        <w:ind w:firstLine="480" w:firstLineChars="200"/>
        <w:rPr>
          <w:bCs/>
          <w:sz w:val="24"/>
        </w:rPr>
      </w:pPr>
      <w:r>
        <w:rPr>
          <w:bCs/>
          <w:sz w:val="24"/>
        </w:rPr>
        <w:t>本基金信息披露义务人包括基金管理人、基金托管人、召集基金份额持有人大会的基金份额持有人及其日常机构等法律法规和中国证监会规定的自然人、法人和</w:t>
      </w:r>
      <w:r>
        <w:rPr>
          <w:rFonts w:hint="eastAsia"/>
          <w:bCs/>
          <w:sz w:val="24"/>
        </w:rPr>
        <w:t>非法人</w:t>
      </w:r>
      <w:r>
        <w:rPr>
          <w:bCs/>
          <w:sz w:val="24"/>
        </w:rPr>
        <w:t>组织。</w:t>
      </w:r>
    </w:p>
    <w:p>
      <w:pPr>
        <w:spacing w:line="360" w:lineRule="auto"/>
        <w:ind w:firstLine="480" w:firstLineChars="20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pPr>
        <w:spacing w:line="360" w:lineRule="auto"/>
        <w:ind w:firstLine="480" w:firstLineChars="200"/>
        <w:rPr>
          <w:bCs/>
          <w:sz w:val="24"/>
        </w:rPr>
      </w:pPr>
      <w:r>
        <w:rPr>
          <w:bCs/>
          <w:sz w:val="24"/>
        </w:rPr>
        <w:t>本基金信息披露义务人应当在中国证监会规定时间内，将应予披露的基金信息通过符合中国证监会</w:t>
      </w:r>
      <w:r>
        <w:rPr>
          <w:rFonts w:hint="eastAsia"/>
          <w:bCs/>
          <w:sz w:val="24"/>
        </w:rPr>
        <w:t>规定</w:t>
      </w:r>
      <w:r>
        <w:rPr>
          <w:bCs/>
          <w:sz w:val="24"/>
        </w:rPr>
        <w:t>条件</w:t>
      </w:r>
      <w:r>
        <w:rPr>
          <w:rFonts w:hint="eastAsia"/>
          <w:bCs/>
          <w:sz w:val="24"/>
        </w:rPr>
        <w:t>的全国性报刊（以下简称“规定报刊”）及《信息披露办法》规定的互联网网站（以下简称“规定网站”）等媒介披露</w:t>
      </w:r>
      <w:r>
        <w:rPr>
          <w:bCs/>
          <w:sz w:val="24"/>
        </w:rPr>
        <w:t>，并保证基金投资者能够按照《基金合同》约定的时间和方式查阅或者复制公开披露的信息资料。</w:t>
      </w:r>
    </w:p>
    <w:p>
      <w:pPr>
        <w:spacing w:line="360" w:lineRule="auto"/>
        <w:ind w:firstLine="480" w:firstLineChars="200"/>
        <w:rPr>
          <w:bCs/>
          <w:sz w:val="24"/>
        </w:rPr>
      </w:pPr>
      <w:r>
        <w:rPr>
          <w:bCs/>
          <w:sz w:val="24"/>
        </w:rPr>
        <w:t>三、本基金信息披露义务人承诺公开披露的基金信息，不得有下列行为：</w:t>
      </w:r>
    </w:p>
    <w:p>
      <w:pPr>
        <w:spacing w:line="360" w:lineRule="auto"/>
        <w:ind w:firstLine="480" w:firstLineChars="200"/>
        <w:rPr>
          <w:bCs/>
          <w:sz w:val="24"/>
        </w:rPr>
      </w:pPr>
      <w:r>
        <w:rPr>
          <w:bCs/>
          <w:sz w:val="24"/>
        </w:rPr>
        <w:t>1、虚假记载、误导性陈述或者重大遗漏；</w:t>
      </w:r>
    </w:p>
    <w:p>
      <w:pPr>
        <w:spacing w:line="360" w:lineRule="auto"/>
        <w:ind w:firstLine="480" w:firstLineChars="200"/>
        <w:rPr>
          <w:bCs/>
          <w:sz w:val="24"/>
        </w:rPr>
      </w:pPr>
      <w:r>
        <w:rPr>
          <w:bCs/>
          <w:sz w:val="24"/>
        </w:rPr>
        <w:t>2、对证券投资业绩进行预测；</w:t>
      </w:r>
    </w:p>
    <w:p>
      <w:pPr>
        <w:spacing w:line="360" w:lineRule="auto"/>
        <w:ind w:firstLine="480" w:firstLineChars="200"/>
        <w:rPr>
          <w:bCs/>
          <w:sz w:val="24"/>
        </w:rPr>
      </w:pPr>
      <w:r>
        <w:rPr>
          <w:bCs/>
          <w:sz w:val="24"/>
        </w:rPr>
        <w:t>3、违规承诺收益或者承担损失；</w:t>
      </w:r>
    </w:p>
    <w:p>
      <w:pPr>
        <w:spacing w:line="360" w:lineRule="auto"/>
        <w:ind w:firstLine="480" w:firstLineChars="200"/>
        <w:rPr>
          <w:bCs/>
          <w:sz w:val="24"/>
        </w:rPr>
      </w:pPr>
      <w:r>
        <w:rPr>
          <w:bCs/>
          <w:sz w:val="24"/>
        </w:rPr>
        <w:t>4、诋毁其他基金管理人、基金托管人或者基金销售机构；</w:t>
      </w:r>
    </w:p>
    <w:p>
      <w:pPr>
        <w:spacing w:line="360" w:lineRule="auto"/>
        <w:ind w:firstLine="480" w:firstLineChars="200"/>
        <w:rPr>
          <w:bCs/>
          <w:sz w:val="24"/>
        </w:rPr>
      </w:pPr>
      <w:r>
        <w:rPr>
          <w:bCs/>
          <w:sz w:val="24"/>
        </w:rPr>
        <w:t>5、登载任何自然人、法人</w:t>
      </w:r>
      <w:r>
        <w:rPr>
          <w:rFonts w:hint="eastAsia"/>
          <w:bCs/>
          <w:sz w:val="24"/>
        </w:rPr>
        <w:t>和非法人</w:t>
      </w:r>
      <w:r>
        <w:rPr>
          <w:bCs/>
          <w:sz w:val="24"/>
        </w:rPr>
        <w:t>组织的祝贺性、恭维性或推荐性的文字；</w:t>
      </w:r>
    </w:p>
    <w:p>
      <w:pPr>
        <w:spacing w:line="360" w:lineRule="auto"/>
        <w:ind w:firstLine="480" w:firstLineChars="200"/>
        <w:rPr>
          <w:bCs/>
          <w:sz w:val="24"/>
        </w:rPr>
      </w:pPr>
      <w:r>
        <w:rPr>
          <w:bCs/>
          <w:sz w:val="24"/>
        </w:rPr>
        <w:t>6、中国证监会禁止的其他行为。</w:t>
      </w:r>
    </w:p>
    <w:p>
      <w:pPr>
        <w:spacing w:line="360" w:lineRule="auto"/>
        <w:ind w:firstLine="480" w:firstLineChars="20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pPr>
        <w:spacing w:line="360" w:lineRule="auto"/>
        <w:ind w:firstLine="480" w:firstLineChars="200"/>
        <w:rPr>
          <w:bCs/>
          <w:sz w:val="24"/>
        </w:rPr>
      </w:pPr>
      <w:r>
        <w:rPr>
          <w:bCs/>
          <w:sz w:val="24"/>
        </w:rPr>
        <w:t>本基金公开披露的信息采用阿拉伯数字；除特别说明外，货币单位为人民币元。</w:t>
      </w:r>
    </w:p>
    <w:p>
      <w:pPr>
        <w:spacing w:line="360" w:lineRule="auto"/>
        <w:ind w:firstLine="480" w:firstLineChars="200"/>
        <w:rPr>
          <w:bCs/>
          <w:sz w:val="24"/>
        </w:rPr>
      </w:pPr>
      <w:r>
        <w:rPr>
          <w:bCs/>
          <w:sz w:val="24"/>
        </w:rPr>
        <w:t>五、公开披露的基金信息</w:t>
      </w:r>
    </w:p>
    <w:p>
      <w:pPr>
        <w:spacing w:line="360" w:lineRule="auto"/>
        <w:ind w:firstLine="480" w:firstLineChars="200"/>
        <w:rPr>
          <w:bCs/>
          <w:sz w:val="24"/>
        </w:rPr>
      </w:pPr>
      <w:r>
        <w:rPr>
          <w:bCs/>
          <w:sz w:val="24"/>
        </w:rPr>
        <w:t>公开披露的基金信息包括：</w:t>
      </w:r>
    </w:p>
    <w:p>
      <w:pPr>
        <w:spacing w:line="360" w:lineRule="auto"/>
        <w:ind w:firstLine="480" w:firstLineChars="200"/>
        <w:rPr>
          <w:bCs/>
          <w:sz w:val="24"/>
        </w:rPr>
      </w:pPr>
      <w:r>
        <w:rPr>
          <w:bCs/>
          <w:sz w:val="24"/>
        </w:rPr>
        <w:t>（一）基金招募说明书、《基金合同》、基金托管协议</w:t>
      </w:r>
      <w:r>
        <w:rPr>
          <w:rFonts w:hint="eastAsia"/>
          <w:bCs/>
          <w:sz w:val="24"/>
        </w:rPr>
        <w:t>、基金产品资料概要</w:t>
      </w:r>
    </w:p>
    <w:p>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bCs/>
          <w:sz w:val="24"/>
        </w:rPr>
        <w:t>2、基金招募说明书应当最大限度地披露影响基金投资者决策的全部事项，说明基金认购</w:t>
      </w:r>
      <w:r>
        <w:rPr>
          <w:rFonts w:hint="eastAsia"/>
          <w:bCs/>
          <w:sz w:val="24"/>
        </w:rPr>
        <w:t>、</w:t>
      </w:r>
      <w:r>
        <w:rPr>
          <w:bCs/>
          <w:sz w:val="24"/>
        </w:rPr>
        <w:t>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。基金终止运作的</w:t>
      </w:r>
      <w:r>
        <w:rPr>
          <w:rFonts w:hint="eastAsia"/>
          <w:bCs/>
          <w:sz w:val="24"/>
        </w:rPr>
        <w:t>，</w:t>
      </w:r>
      <w:r>
        <w:rPr>
          <w:bCs/>
          <w:sz w:val="24"/>
        </w:rPr>
        <w:t>基金管理人不再更新基金招募说明书</w:t>
      </w:r>
      <w:r>
        <w:rPr>
          <w:rFonts w:hint="eastAsia"/>
          <w:bCs/>
          <w:sz w:val="24"/>
        </w:rPr>
        <w:t>。</w:t>
      </w:r>
    </w:p>
    <w:p>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bCs/>
          <w:sz w:val="24"/>
        </w:rPr>
      </w:pPr>
      <w:r>
        <w:rPr>
          <w:bCs/>
          <w:sz w:val="24"/>
        </w:rPr>
        <w:t>基金募集申请经中国证监会</w:t>
      </w:r>
      <w:r>
        <w:rPr>
          <w:rFonts w:hint="eastAsia"/>
          <w:bCs/>
          <w:sz w:val="24"/>
        </w:rPr>
        <w:t>注册</w:t>
      </w:r>
      <w:r>
        <w:rPr>
          <w:bCs/>
          <w:sz w:val="24"/>
        </w:rPr>
        <w:t>后，基金管理人在基金份额发售的3日前，</w:t>
      </w:r>
      <w:r>
        <w:rPr>
          <w:rFonts w:hint="eastAsia"/>
          <w:bCs/>
          <w:sz w:val="24"/>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Pr>
          <w:bCs/>
          <w:sz w:val="24"/>
        </w:rPr>
        <w:t>。</w:t>
      </w:r>
    </w:p>
    <w:p>
      <w:pPr>
        <w:spacing w:line="360" w:lineRule="auto"/>
        <w:ind w:firstLine="480" w:firstLineChars="200"/>
        <w:rPr>
          <w:bCs/>
          <w:sz w:val="24"/>
        </w:rPr>
      </w:pPr>
      <w:r>
        <w:rPr>
          <w:bCs/>
          <w:sz w:val="24"/>
        </w:rPr>
        <w:t>（二）基金份额发售公告</w:t>
      </w:r>
    </w:p>
    <w:p>
      <w:pPr>
        <w:spacing w:line="360" w:lineRule="auto"/>
        <w:ind w:firstLine="480" w:firstLineChars="200"/>
        <w:rPr>
          <w:bCs/>
          <w:sz w:val="24"/>
        </w:rPr>
      </w:pPr>
      <w:r>
        <w:rPr>
          <w:bCs/>
          <w:sz w:val="24"/>
        </w:rPr>
        <w:t>基金管理人应当就基金份额发售的具体事宜编制基金份额发售公告，</w:t>
      </w:r>
      <w:r>
        <w:rPr>
          <w:rFonts w:hint="eastAsia"/>
          <w:bCs/>
          <w:sz w:val="24"/>
        </w:rPr>
        <w:t>并在基金份额发售的三日前登载在规定媒介上</w:t>
      </w:r>
      <w:r>
        <w:rPr>
          <w:bCs/>
          <w:sz w:val="24"/>
        </w:rPr>
        <w:t>。</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基金管理人应当在收到中国证监会确认文件的次日在规定媒介上登载《基金合同》生效公告。</w:t>
      </w:r>
    </w:p>
    <w:p>
      <w:pPr>
        <w:spacing w:line="360" w:lineRule="auto"/>
        <w:ind w:firstLine="480" w:firstLineChars="200"/>
        <w:rPr>
          <w:bCs/>
          <w:sz w:val="24"/>
        </w:rPr>
      </w:pPr>
      <w:r>
        <w:rPr>
          <w:rFonts w:hint="eastAsia"/>
          <w:bCs/>
          <w:sz w:val="24"/>
        </w:rPr>
        <w:t>（四）基金净值信息</w:t>
      </w:r>
    </w:p>
    <w:p>
      <w:pPr>
        <w:spacing w:line="360" w:lineRule="auto"/>
        <w:ind w:firstLine="480" w:firstLineChars="200"/>
        <w:rPr>
          <w:bCs/>
          <w:sz w:val="24"/>
        </w:rPr>
      </w:pPr>
      <w:r>
        <w:rPr>
          <w:bCs/>
          <w:sz w:val="24"/>
        </w:rPr>
        <w:t>《基金合同》生效后，在</w:t>
      </w:r>
      <w:r>
        <w:rPr>
          <w:rFonts w:hint="eastAsia"/>
          <w:bCs/>
          <w:sz w:val="24"/>
        </w:rPr>
        <w:t>每个</w:t>
      </w:r>
      <w:r>
        <w:rPr>
          <w:bCs/>
          <w:sz w:val="24"/>
        </w:rPr>
        <w:t>封闭期内，基金管理人应当至少每周</w:t>
      </w:r>
      <w:r>
        <w:rPr>
          <w:rFonts w:hint="eastAsia"/>
          <w:bCs/>
          <w:sz w:val="24"/>
        </w:rPr>
        <w:t>在规定网站披露</w:t>
      </w:r>
      <w:r>
        <w:rPr>
          <w:bCs/>
          <w:sz w:val="24"/>
        </w:rPr>
        <w:t>一次</w:t>
      </w:r>
      <w:r>
        <w:rPr>
          <w:rFonts w:hint="eastAsia"/>
          <w:bCs/>
          <w:sz w:val="24"/>
        </w:rPr>
        <w:t>A类</w:t>
      </w:r>
      <w:r>
        <w:rPr>
          <w:bCs/>
          <w:sz w:val="24"/>
        </w:rPr>
        <w:t>基金份额</w:t>
      </w:r>
      <w:r>
        <w:rPr>
          <w:rFonts w:hint="eastAsia"/>
          <w:bCs/>
          <w:sz w:val="24"/>
        </w:rPr>
        <w:t>、C类基金份额</w:t>
      </w:r>
      <w:r>
        <w:rPr>
          <w:bCs/>
          <w:sz w:val="24"/>
        </w:rPr>
        <w:t>净值</w:t>
      </w:r>
      <w:r>
        <w:rPr>
          <w:rFonts w:hint="eastAsia"/>
          <w:bCs/>
          <w:sz w:val="24"/>
        </w:rPr>
        <w:t>和基金份额累计净值</w:t>
      </w:r>
      <w:r>
        <w:rPr>
          <w:bCs/>
          <w:sz w:val="24"/>
        </w:rPr>
        <w:t>。</w:t>
      </w:r>
    </w:p>
    <w:p>
      <w:pPr>
        <w:spacing w:line="360" w:lineRule="auto"/>
        <w:ind w:firstLine="480" w:firstLineChars="200"/>
        <w:rPr>
          <w:bCs/>
          <w:sz w:val="24"/>
        </w:rPr>
      </w:pPr>
      <w:r>
        <w:rPr>
          <w:bCs/>
          <w:sz w:val="24"/>
        </w:rPr>
        <w:t>在</w:t>
      </w:r>
      <w:r>
        <w:rPr>
          <w:rFonts w:hint="eastAsia"/>
          <w:bCs/>
          <w:sz w:val="24"/>
        </w:rPr>
        <w:t>开放期</w:t>
      </w:r>
      <w:r>
        <w:rPr>
          <w:bCs/>
          <w:sz w:val="24"/>
        </w:rPr>
        <w:t>内，基金管理人应当在</w:t>
      </w:r>
      <w:r>
        <w:rPr>
          <w:rFonts w:hint="eastAsia"/>
          <w:bCs/>
          <w:sz w:val="24"/>
        </w:rPr>
        <w:t>不晚于每个开放日的次日，通过规定网站、基金销售机构网站或者营业网点</w:t>
      </w:r>
      <w:r>
        <w:rPr>
          <w:bCs/>
          <w:sz w:val="24"/>
        </w:rPr>
        <w:t>，披露开放日的</w:t>
      </w:r>
      <w:r>
        <w:rPr>
          <w:rFonts w:hint="eastAsia"/>
          <w:bCs/>
          <w:sz w:val="24"/>
        </w:rPr>
        <w:t>A类</w:t>
      </w:r>
      <w:r>
        <w:rPr>
          <w:bCs/>
          <w:sz w:val="24"/>
        </w:rPr>
        <w:t>基金份额</w:t>
      </w:r>
      <w:r>
        <w:rPr>
          <w:rFonts w:hint="eastAsia"/>
          <w:bCs/>
          <w:sz w:val="24"/>
        </w:rPr>
        <w:t>、C类基金份额</w:t>
      </w:r>
      <w:r>
        <w:rPr>
          <w:bCs/>
          <w:sz w:val="24"/>
        </w:rPr>
        <w:t>净值和</w:t>
      </w:r>
      <w:r>
        <w:rPr>
          <w:rFonts w:hint="eastAsia"/>
          <w:bCs/>
          <w:sz w:val="24"/>
        </w:rPr>
        <w:t>A类</w:t>
      </w:r>
      <w:r>
        <w:rPr>
          <w:bCs/>
          <w:sz w:val="24"/>
        </w:rPr>
        <w:t>基金份额</w:t>
      </w:r>
      <w:r>
        <w:rPr>
          <w:rFonts w:hint="eastAsia"/>
          <w:bCs/>
          <w:sz w:val="24"/>
        </w:rPr>
        <w:t>、C类基金份额</w:t>
      </w:r>
      <w:r>
        <w:rPr>
          <w:bCs/>
          <w:sz w:val="24"/>
        </w:rPr>
        <w:t>累计净值。</w:t>
      </w:r>
    </w:p>
    <w:p>
      <w:pPr>
        <w:spacing w:line="360" w:lineRule="auto"/>
        <w:ind w:firstLine="480" w:firstLineChars="200"/>
        <w:rPr>
          <w:bCs/>
          <w:sz w:val="24"/>
        </w:rPr>
      </w:pPr>
      <w:r>
        <w:rPr>
          <w:bCs/>
          <w:sz w:val="24"/>
        </w:rPr>
        <w:t>基金管理人应当</w:t>
      </w:r>
      <w:r>
        <w:rPr>
          <w:rFonts w:hint="eastAsia"/>
          <w:bCs/>
          <w:sz w:val="24"/>
        </w:rPr>
        <w:t>在不晚于半年度和年度最后一日的次日，在规定网站披露半年度和年度最后一日的各类基金份额净值和基金份额累计净值。</w:t>
      </w:r>
    </w:p>
    <w:p>
      <w:pPr>
        <w:spacing w:line="360" w:lineRule="auto"/>
        <w:ind w:firstLine="480" w:firstLineChars="200"/>
        <w:rPr>
          <w:bCs/>
          <w:sz w:val="24"/>
        </w:rPr>
      </w:pPr>
      <w:r>
        <w:rPr>
          <w:bCs/>
          <w:sz w:val="24"/>
        </w:rPr>
        <w:t>（</w:t>
      </w:r>
      <w:r>
        <w:rPr>
          <w:rFonts w:hint="eastAsia"/>
          <w:bCs/>
          <w:sz w:val="24"/>
        </w:rPr>
        <w:t>五</w:t>
      </w:r>
      <w:r>
        <w:rPr>
          <w:bCs/>
          <w:sz w:val="24"/>
        </w:rPr>
        <w:t>）基金份额申购、赎回价格</w:t>
      </w:r>
    </w:p>
    <w:p>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w:t>
      </w:r>
      <w:r>
        <w:rPr>
          <w:rFonts w:hint="eastAsia"/>
          <w:bCs/>
          <w:sz w:val="24"/>
        </w:rPr>
        <w:t>基金销售机构网站或营业网点</w:t>
      </w:r>
      <w:r>
        <w:rPr>
          <w:bCs/>
          <w:sz w:val="24"/>
        </w:rPr>
        <w:t>查阅或者复制前述信息资料。</w:t>
      </w:r>
    </w:p>
    <w:p>
      <w:pPr>
        <w:spacing w:line="360" w:lineRule="auto"/>
        <w:ind w:firstLine="480" w:firstLineChars="200"/>
        <w:rPr>
          <w:bCs/>
          <w:sz w:val="24"/>
        </w:rPr>
      </w:pPr>
      <w:r>
        <w:rPr>
          <w:bCs/>
          <w:sz w:val="24"/>
        </w:rPr>
        <w:t>（</w:t>
      </w:r>
      <w:r>
        <w:rPr>
          <w:rFonts w:hint="eastAsia"/>
          <w:bCs/>
          <w:sz w:val="24"/>
        </w:rPr>
        <w:t>六</w:t>
      </w:r>
      <w:r>
        <w:rPr>
          <w:bCs/>
          <w:sz w:val="24"/>
        </w:rPr>
        <w:t>）基金定期报告，包括基金年度报告、基金</w:t>
      </w:r>
      <w:r>
        <w:rPr>
          <w:rFonts w:hint="eastAsia"/>
          <w:bCs/>
          <w:sz w:val="24"/>
        </w:rPr>
        <w:t>中期</w:t>
      </w:r>
      <w:r>
        <w:rPr>
          <w:bCs/>
          <w:sz w:val="24"/>
        </w:rPr>
        <w:t>报告和基金季度报告</w:t>
      </w:r>
    </w:p>
    <w:p>
      <w:pPr>
        <w:spacing w:line="360" w:lineRule="auto"/>
        <w:ind w:firstLine="480" w:firstLineChars="20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将年度报告登载在规定网站上，并将年度报告提示性公告登载在规定报刊上。基金年度报告中的财务会计报告应当经过符合《中华人民共和国证券法》规定的会计师事务所审计</w:t>
      </w:r>
      <w:r>
        <w:rPr>
          <w:bCs/>
          <w:sz w:val="24"/>
        </w:rPr>
        <w:t>。</w:t>
      </w:r>
    </w:p>
    <w:p>
      <w:pPr>
        <w:spacing w:line="360" w:lineRule="auto"/>
        <w:ind w:firstLine="480" w:firstLineChars="200"/>
        <w:rPr>
          <w:bCs/>
          <w:sz w:val="24"/>
        </w:rPr>
      </w:pPr>
      <w:r>
        <w:rPr>
          <w:rFonts w:hint="eastAsia"/>
          <w:bCs/>
          <w:sz w:val="24"/>
        </w:rPr>
        <w:t>基金管理人应当在上半年结束之日起两个月内，编制完成基金中期报告，将中期报告登载在规定网站上，并将中期报告提示性公告登载在规定报刊上</w:t>
      </w:r>
      <w:r>
        <w:rPr>
          <w:bCs/>
          <w:sz w:val="24"/>
        </w:rPr>
        <w:t>。</w:t>
      </w:r>
    </w:p>
    <w:p>
      <w:pPr>
        <w:spacing w:line="360" w:lineRule="auto"/>
        <w:ind w:firstLine="480" w:firstLineChars="200"/>
        <w:rPr>
          <w:bCs/>
          <w:sz w:val="24"/>
        </w:rPr>
      </w:pPr>
      <w:r>
        <w:rPr>
          <w:bCs/>
          <w:sz w:val="24"/>
        </w:rPr>
        <w:t>基金管理人应当在季度结束之日起15个工作日内，编制完成基金季度报告，</w:t>
      </w:r>
      <w:r>
        <w:rPr>
          <w:rFonts w:hint="eastAsia"/>
          <w:bCs/>
          <w:sz w:val="24"/>
        </w:rPr>
        <w:t>将季度报告登载在规定网站上，并将季度报告提示性公告登载在规定报刊上</w:t>
      </w:r>
      <w:r>
        <w:rPr>
          <w:bCs/>
          <w:sz w:val="24"/>
        </w:rPr>
        <w:t>。</w:t>
      </w:r>
    </w:p>
    <w:p>
      <w:pPr>
        <w:spacing w:line="360" w:lineRule="auto"/>
        <w:ind w:firstLine="480" w:firstLineChars="200"/>
        <w:rPr>
          <w:bCs/>
          <w:sz w:val="24"/>
        </w:rPr>
      </w:pPr>
      <w:r>
        <w:rPr>
          <w:bCs/>
          <w:sz w:val="24"/>
        </w:rPr>
        <w:t>《基金合同》生效不足2个月的，基金管理人可以不编制当期季度报告、</w:t>
      </w:r>
      <w:r>
        <w:rPr>
          <w:rFonts w:hint="eastAsia"/>
          <w:bCs/>
          <w:sz w:val="24"/>
        </w:rPr>
        <w:t>中期</w:t>
      </w:r>
      <w:r>
        <w:rPr>
          <w:bCs/>
          <w:sz w:val="24"/>
        </w:rPr>
        <w:t>报告或者年度报告。</w:t>
      </w:r>
    </w:p>
    <w:p>
      <w:pPr>
        <w:spacing w:line="360" w:lineRule="auto"/>
        <w:ind w:firstLine="480" w:firstLineChars="200"/>
        <w:rPr>
          <w:bCs/>
          <w:sz w:val="24"/>
        </w:rPr>
      </w:pPr>
      <w:r>
        <w:rPr>
          <w:bCs/>
          <w:sz w:val="24"/>
        </w:rPr>
        <w:t>本基金</w:t>
      </w:r>
      <w:r>
        <w:rPr>
          <w:rFonts w:hint="eastAsia"/>
          <w:bCs/>
          <w:sz w:val="24"/>
        </w:rPr>
        <w:t>在基金年度报告及中期报告中应披露其持有的流通受限证券总额、流通受限证券市值占基金净资产的比例和报告期内所有的流通受限证券明细。</w:t>
      </w:r>
    </w:p>
    <w:p>
      <w:pPr>
        <w:spacing w:line="360" w:lineRule="auto"/>
        <w:ind w:firstLine="480" w:firstLineChars="200"/>
        <w:rPr>
          <w:bCs/>
          <w:sz w:val="24"/>
        </w:rPr>
      </w:pPr>
      <w:r>
        <w:rPr>
          <w:rFonts w:hint="eastAsia"/>
          <w:bCs/>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w:t>
      </w:r>
      <w:r>
        <w:rPr>
          <w:bCs/>
          <w:sz w:val="24"/>
        </w:rPr>
        <w:t>基金</w:t>
      </w:r>
      <w:r>
        <w:rPr>
          <w:rFonts w:hint="eastAsia"/>
          <w:bCs/>
          <w:sz w:val="24"/>
        </w:rPr>
        <w:t>的特有风险，中国证监会认定的特殊情形除外。</w:t>
      </w:r>
    </w:p>
    <w:p>
      <w:pPr>
        <w:spacing w:line="360" w:lineRule="auto"/>
        <w:ind w:firstLine="480" w:firstLineChars="200"/>
        <w:rPr>
          <w:bCs/>
          <w:sz w:val="24"/>
        </w:rPr>
      </w:pPr>
      <w:r>
        <w:rPr>
          <w:rFonts w:hint="eastAsia"/>
          <w:bCs/>
          <w:sz w:val="24"/>
        </w:rPr>
        <w:t>基金管理人应当在基金年度报告和中期报告中披露基金组合资产情况及其流动性风险分析等。</w:t>
      </w:r>
    </w:p>
    <w:p>
      <w:pPr>
        <w:spacing w:line="360" w:lineRule="auto"/>
        <w:ind w:firstLine="480" w:firstLineChars="200"/>
        <w:rPr>
          <w:bCs/>
          <w:sz w:val="24"/>
        </w:rPr>
      </w:pPr>
      <w:r>
        <w:rPr>
          <w:bCs/>
          <w:sz w:val="24"/>
        </w:rPr>
        <w:t>（</w:t>
      </w:r>
      <w:r>
        <w:rPr>
          <w:rFonts w:hint="eastAsia"/>
          <w:bCs/>
          <w:sz w:val="24"/>
        </w:rPr>
        <w:t>七</w:t>
      </w:r>
      <w:r>
        <w:rPr>
          <w:bCs/>
          <w:sz w:val="24"/>
        </w:rPr>
        <w:t>）临时报告</w:t>
      </w:r>
    </w:p>
    <w:p>
      <w:pPr>
        <w:spacing w:line="360" w:lineRule="auto"/>
        <w:ind w:firstLine="480" w:firstLineChars="200"/>
        <w:rPr>
          <w:bCs/>
          <w:sz w:val="24"/>
        </w:rPr>
      </w:pPr>
      <w:r>
        <w:rPr>
          <w:bCs/>
          <w:sz w:val="24"/>
        </w:rPr>
        <w:t>本基金发生重大事件，有关信息披露义务人应当在2日内编制临时报告书，</w:t>
      </w:r>
      <w:r>
        <w:rPr>
          <w:rFonts w:hint="eastAsia"/>
          <w:bCs/>
          <w:sz w:val="24"/>
        </w:rPr>
        <w:t>并登载在规定报刊和规定网站上</w:t>
      </w:r>
      <w:r>
        <w:rPr>
          <w:bCs/>
          <w:sz w:val="24"/>
        </w:rPr>
        <w:t>。</w:t>
      </w:r>
    </w:p>
    <w:p>
      <w:pPr>
        <w:spacing w:line="360" w:lineRule="auto"/>
        <w:ind w:firstLine="480" w:firstLineChars="200"/>
        <w:rPr>
          <w:bCs/>
          <w:sz w:val="24"/>
        </w:rPr>
      </w:pPr>
      <w:r>
        <w:rPr>
          <w:bCs/>
          <w:sz w:val="24"/>
        </w:rPr>
        <w:t>前款所称重大事件，是指可能对基金份额持有人权益或者基金份额的价格产生重大影响的下列事件：</w:t>
      </w:r>
    </w:p>
    <w:p>
      <w:pPr>
        <w:spacing w:line="360" w:lineRule="auto"/>
        <w:ind w:firstLine="480" w:firstLineChars="200"/>
        <w:rPr>
          <w:bCs/>
          <w:sz w:val="24"/>
        </w:rPr>
      </w:pPr>
      <w:r>
        <w:rPr>
          <w:bCs/>
          <w:sz w:val="24"/>
        </w:rPr>
        <w:t>1、基金份额持有人大会的召开</w:t>
      </w:r>
      <w:r>
        <w:rPr>
          <w:rFonts w:hint="eastAsia"/>
          <w:bCs/>
          <w:sz w:val="24"/>
        </w:rPr>
        <w:t>及决定的事项</w:t>
      </w:r>
      <w:r>
        <w:rPr>
          <w:bCs/>
          <w:sz w:val="24"/>
        </w:rPr>
        <w:t>；</w:t>
      </w:r>
    </w:p>
    <w:p>
      <w:pPr>
        <w:spacing w:line="360" w:lineRule="auto"/>
        <w:ind w:firstLine="480" w:firstLineChars="200"/>
        <w:rPr>
          <w:bCs/>
          <w:sz w:val="24"/>
        </w:rPr>
      </w:pPr>
      <w:r>
        <w:rPr>
          <w:bCs/>
          <w:sz w:val="24"/>
        </w:rPr>
        <w:t>2、《基金合同》</w:t>
      </w:r>
      <w:r>
        <w:rPr>
          <w:rFonts w:hint="eastAsia"/>
          <w:bCs/>
          <w:sz w:val="24"/>
        </w:rPr>
        <w:t>终止</w:t>
      </w:r>
      <w:r>
        <w:rPr>
          <w:bCs/>
          <w:sz w:val="24"/>
        </w:rPr>
        <w:t>、</w:t>
      </w:r>
      <w:r>
        <w:rPr>
          <w:rFonts w:hint="eastAsia"/>
          <w:bCs/>
          <w:sz w:val="24"/>
        </w:rPr>
        <w:t>基金</w:t>
      </w:r>
      <w:r>
        <w:rPr>
          <w:bCs/>
          <w:sz w:val="24"/>
        </w:rPr>
        <w:t>清算；</w:t>
      </w:r>
    </w:p>
    <w:p>
      <w:pPr>
        <w:spacing w:line="360" w:lineRule="auto"/>
        <w:ind w:firstLine="480" w:firstLineChars="200"/>
        <w:rPr>
          <w:bCs/>
          <w:sz w:val="24"/>
        </w:rPr>
      </w:pPr>
      <w:r>
        <w:rPr>
          <w:bCs/>
          <w:sz w:val="24"/>
        </w:rPr>
        <w:t>3、转换基金运作方式</w:t>
      </w:r>
      <w:r>
        <w:rPr>
          <w:rFonts w:hint="eastAsia"/>
          <w:bCs/>
          <w:sz w:val="24"/>
        </w:rPr>
        <w:t>、</w:t>
      </w:r>
      <w:r>
        <w:rPr>
          <w:bCs/>
          <w:sz w:val="24"/>
        </w:rPr>
        <w:t>基金</w:t>
      </w:r>
      <w:r>
        <w:rPr>
          <w:rFonts w:hint="eastAsia"/>
          <w:bCs/>
          <w:sz w:val="24"/>
        </w:rPr>
        <w:t>合并</w:t>
      </w:r>
      <w:r>
        <w:rPr>
          <w:bCs/>
          <w:sz w:val="24"/>
        </w:rPr>
        <w:t>；</w:t>
      </w:r>
    </w:p>
    <w:p>
      <w:pPr>
        <w:spacing w:line="360" w:lineRule="auto"/>
        <w:ind w:firstLine="480" w:firstLineChars="200"/>
        <w:rPr>
          <w:bCs/>
          <w:sz w:val="24"/>
        </w:rPr>
      </w:pPr>
      <w:r>
        <w:rPr>
          <w:bCs/>
          <w:sz w:val="24"/>
        </w:rPr>
        <w:t>4、更换基金管理人、基金托管人</w:t>
      </w:r>
      <w:r>
        <w:rPr>
          <w:rFonts w:hint="eastAsia"/>
          <w:bCs/>
          <w:sz w:val="24"/>
        </w:rPr>
        <w:t>、基金份额登记机构，基金改聘会计师事务所</w:t>
      </w:r>
      <w:r>
        <w:rPr>
          <w:bCs/>
          <w:sz w:val="24"/>
        </w:rPr>
        <w:t>；</w:t>
      </w:r>
    </w:p>
    <w:p>
      <w:pPr>
        <w:spacing w:line="360" w:lineRule="auto"/>
        <w:ind w:firstLine="480" w:firstLineChars="20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pPr>
        <w:spacing w:line="360" w:lineRule="auto"/>
        <w:ind w:firstLine="480" w:firstLineChars="200"/>
        <w:rPr>
          <w:bCs/>
          <w:sz w:val="24"/>
        </w:rPr>
      </w:pPr>
      <w:r>
        <w:rPr>
          <w:rFonts w:hint="eastAsia"/>
          <w:bCs/>
          <w:sz w:val="24"/>
        </w:rPr>
        <w:t>6、</w:t>
      </w:r>
      <w:r>
        <w:rPr>
          <w:bCs/>
          <w:sz w:val="24"/>
        </w:rPr>
        <w:t>基金管理人、基金托管人的法定名称、住所发生变更；</w:t>
      </w:r>
    </w:p>
    <w:p>
      <w:pPr>
        <w:spacing w:line="360" w:lineRule="auto"/>
        <w:ind w:firstLine="480" w:firstLineChars="200"/>
        <w:rPr>
          <w:bCs/>
          <w:sz w:val="24"/>
        </w:rPr>
      </w:pPr>
      <w:r>
        <w:rPr>
          <w:rFonts w:hint="eastAsia"/>
          <w:bCs/>
          <w:sz w:val="24"/>
        </w:rPr>
        <w:t>7</w:t>
      </w:r>
      <w:r>
        <w:rPr>
          <w:bCs/>
          <w:sz w:val="24"/>
        </w:rPr>
        <w:t>、基金管理人</w:t>
      </w:r>
      <w:r>
        <w:rPr>
          <w:rFonts w:hint="eastAsia"/>
          <w:bCs/>
          <w:sz w:val="24"/>
        </w:rPr>
        <w:t>变更持有百分之五以上股权的股东、基金管理人的实际控制人变更</w:t>
      </w:r>
      <w:r>
        <w:rPr>
          <w:bCs/>
          <w:sz w:val="24"/>
        </w:rPr>
        <w:t>；</w:t>
      </w:r>
    </w:p>
    <w:p>
      <w:pPr>
        <w:spacing w:line="360" w:lineRule="auto"/>
        <w:ind w:firstLine="480" w:firstLineChars="200"/>
        <w:rPr>
          <w:bCs/>
          <w:sz w:val="24"/>
        </w:rPr>
      </w:pPr>
      <w:r>
        <w:rPr>
          <w:rFonts w:hint="eastAsia"/>
          <w:bCs/>
          <w:sz w:val="24"/>
        </w:rPr>
        <w:t>8</w:t>
      </w:r>
      <w:r>
        <w:rPr>
          <w:bCs/>
          <w:sz w:val="24"/>
        </w:rPr>
        <w:t>、基金募集期延长</w:t>
      </w:r>
      <w:r>
        <w:rPr>
          <w:rFonts w:hint="eastAsia"/>
          <w:bCs/>
          <w:sz w:val="24"/>
        </w:rPr>
        <w:t>或提前结束募集；</w:t>
      </w:r>
    </w:p>
    <w:p>
      <w:pPr>
        <w:spacing w:line="360" w:lineRule="auto"/>
        <w:ind w:firstLine="480" w:firstLineChars="200"/>
        <w:rPr>
          <w:bCs/>
          <w:sz w:val="24"/>
        </w:rPr>
      </w:pPr>
      <w:r>
        <w:rPr>
          <w:rFonts w:hint="eastAsia"/>
          <w:bCs/>
          <w:sz w:val="24"/>
        </w:rPr>
        <w:t>9、</w:t>
      </w:r>
      <w:r>
        <w:rPr>
          <w:bCs/>
          <w:sz w:val="24"/>
        </w:rPr>
        <w:t>基金管理人的</w:t>
      </w:r>
      <w:r>
        <w:rPr>
          <w:rFonts w:hint="eastAsia"/>
          <w:bCs/>
          <w:sz w:val="24"/>
        </w:rPr>
        <w:t>高级管理人员、基金经理和基金托管人专门基金托管部门负责人发生变动</w:t>
      </w:r>
      <w:r>
        <w:rPr>
          <w:bCs/>
          <w:sz w:val="24"/>
        </w:rPr>
        <w:t>；</w:t>
      </w:r>
    </w:p>
    <w:p>
      <w:pPr>
        <w:spacing w:line="360" w:lineRule="auto"/>
        <w:ind w:firstLine="480" w:firstLineChars="200"/>
        <w:rPr>
          <w:bCs/>
          <w:sz w:val="24"/>
        </w:rPr>
      </w:pPr>
      <w:r>
        <w:rPr>
          <w:rFonts w:hint="eastAsia"/>
          <w:bCs/>
          <w:sz w:val="24"/>
        </w:rPr>
        <w:t>10</w:t>
      </w:r>
      <w:r>
        <w:rPr>
          <w:bCs/>
          <w:sz w:val="24"/>
        </w:rPr>
        <w:t>、基金管理人的董事在</w:t>
      </w:r>
      <w:r>
        <w:rPr>
          <w:rFonts w:hint="eastAsia"/>
          <w:bCs/>
          <w:sz w:val="24"/>
        </w:rPr>
        <w:t>最近12个月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最近12个月</w:t>
      </w:r>
      <w:r>
        <w:rPr>
          <w:bCs/>
          <w:sz w:val="24"/>
        </w:rPr>
        <w:t>内变动超过百分之三十；</w:t>
      </w:r>
    </w:p>
    <w:p>
      <w:pPr>
        <w:spacing w:line="360" w:lineRule="auto"/>
        <w:ind w:firstLine="480" w:firstLineChars="200"/>
        <w:rPr>
          <w:bCs/>
          <w:sz w:val="24"/>
        </w:rPr>
      </w:pPr>
      <w:r>
        <w:rPr>
          <w:rFonts w:hint="eastAsia"/>
          <w:bCs/>
          <w:sz w:val="24"/>
        </w:rPr>
        <w:t>11</w:t>
      </w:r>
      <w:r>
        <w:rPr>
          <w:bCs/>
          <w:sz w:val="24"/>
        </w:rPr>
        <w:t>、涉及</w:t>
      </w:r>
      <w:r>
        <w:rPr>
          <w:rFonts w:hint="eastAsia"/>
          <w:bCs/>
          <w:sz w:val="24"/>
        </w:rPr>
        <w:t>基金管理业务、基金</w:t>
      </w:r>
      <w:r>
        <w:rPr>
          <w:bCs/>
          <w:sz w:val="24"/>
        </w:rPr>
        <w:t>财产、基金托管业务的诉讼</w:t>
      </w:r>
      <w:r>
        <w:rPr>
          <w:rFonts w:hint="eastAsia"/>
          <w:bCs/>
          <w:sz w:val="24"/>
        </w:rPr>
        <w:t>或仲裁</w:t>
      </w:r>
      <w:r>
        <w:rPr>
          <w:bCs/>
          <w:sz w:val="24"/>
        </w:rPr>
        <w:t>；</w:t>
      </w:r>
    </w:p>
    <w:p>
      <w:pPr>
        <w:spacing w:line="360" w:lineRule="auto"/>
        <w:ind w:firstLine="480" w:firstLineChars="200"/>
        <w:rPr>
          <w:bCs/>
          <w:sz w:val="24"/>
        </w:rPr>
      </w:pPr>
      <w:r>
        <w:rPr>
          <w:rFonts w:hint="eastAsia"/>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pPr>
        <w:spacing w:line="360" w:lineRule="auto"/>
        <w:ind w:firstLine="480" w:firstLineChars="200"/>
        <w:rPr>
          <w:bCs/>
          <w:sz w:val="24"/>
        </w:rPr>
      </w:pPr>
      <w:r>
        <w:rPr>
          <w:rFonts w:hint="eastAsia"/>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spacing w:line="360" w:lineRule="auto"/>
        <w:ind w:firstLine="480" w:firstLineChars="200"/>
        <w:rPr>
          <w:bCs/>
          <w:sz w:val="24"/>
        </w:rPr>
      </w:pPr>
      <w:r>
        <w:rPr>
          <w:rFonts w:hint="eastAsia"/>
          <w:bCs/>
          <w:sz w:val="24"/>
        </w:rPr>
        <w:t>14</w:t>
      </w:r>
      <w:r>
        <w:rPr>
          <w:bCs/>
          <w:sz w:val="24"/>
        </w:rPr>
        <w:t>、基金收益分配事项；</w:t>
      </w:r>
    </w:p>
    <w:p>
      <w:pPr>
        <w:spacing w:line="360" w:lineRule="auto"/>
        <w:ind w:firstLine="480" w:firstLineChars="200"/>
        <w:rPr>
          <w:bCs/>
          <w:sz w:val="24"/>
        </w:rPr>
      </w:pPr>
      <w:r>
        <w:rPr>
          <w:bCs/>
          <w:sz w:val="24"/>
        </w:rPr>
        <w:t>15、管理费、托管费</w:t>
      </w:r>
      <w:r>
        <w:rPr>
          <w:rFonts w:hint="eastAsia"/>
          <w:bCs/>
          <w:sz w:val="24"/>
        </w:rPr>
        <w:t>、</w:t>
      </w:r>
      <w:r>
        <w:rPr>
          <w:bCs/>
          <w:sz w:val="24"/>
        </w:rPr>
        <w:t>销售服务费</w:t>
      </w:r>
      <w:r>
        <w:rPr>
          <w:rFonts w:hint="eastAsia"/>
          <w:bCs/>
          <w:sz w:val="24"/>
        </w:rPr>
        <w:t>、申购费、赎回费</w:t>
      </w:r>
      <w:r>
        <w:rPr>
          <w:bCs/>
          <w:sz w:val="24"/>
        </w:rPr>
        <w:t>等费用计提标准、计提方式和费率发生变更；</w:t>
      </w:r>
    </w:p>
    <w:p>
      <w:pPr>
        <w:spacing w:line="360" w:lineRule="auto"/>
        <w:ind w:firstLine="480" w:firstLineChars="200"/>
        <w:rPr>
          <w:bCs/>
          <w:sz w:val="24"/>
        </w:rPr>
      </w:pPr>
      <w:r>
        <w:rPr>
          <w:bCs/>
          <w:sz w:val="24"/>
        </w:rPr>
        <w:t>16、基金份额净值</w:t>
      </w:r>
      <w:r>
        <w:rPr>
          <w:rFonts w:hint="eastAsia"/>
          <w:bCs/>
          <w:sz w:val="24"/>
        </w:rPr>
        <w:t>估值</w:t>
      </w:r>
      <w:r>
        <w:rPr>
          <w:bCs/>
          <w:sz w:val="24"/>
        </w:rPr>
        <w:t>错误达基金份额净值百分之零点五；</w:t>
      </w:r>
    </w:p>
    <w:p>
      <w:pPr>
        <w:spacing w:line="360" w:lineRule="auto"/>
        <w:ind w:firstLine="480" w:firstLineChars="200"/>
        <w:rPr>
          <w:bCs/>
          <w:sz w:val="24"/>
        </w:rPr>
      </w:pPr>
      <w:r>
        <w:rPr>
          <w:bCs/>
          <w:sz w:val="24"/>
        </w:rPr>
        <w:t>17、本基金开始办理申购、赎回；</w:t>
      </w:r>
    </w:p>
    <w:p>
      <w:pPr>
        <w:spacing w:line="360" w:lineRule="auto"/>
        <w:ind w:firstLine="480" w:firstLineChars="200"/>
        <w:rPr>
          <w:bCs/>
          <w:sz w:val="24"/>
        </w:rPr>
      </w:pPr>
      <w:r>
        <w:rPr>
          <w:rFonts w:hint="eastAsia"/>
          <w:bCs/>
          <w:sz w:val="24"/>
        </w:rPr>
        <w:t>18、</w:t>
      </w:r>
      <w:r>
        <w:rPr>
          <w:bCs/>
          <w:sz w:val="24"/>
        </w:rPr>
        <w:t>本基金发生巨额赎回并</w:t>
      </w:r>
      <w:r>
        <w:rPr>
          <w:rFonts w:hint="eastAsia"/>
          <w:bCs/>
          <w:sz w:val="24"/>
        </w:rPr>
        <w:t>延缓</w:t>
      </w:r>
      <w:r>
        <w:rPr>
          <w:bCs/>
          <w:sz w:val="24"/>
        </w:rPr>
        <w:t>支付赎回款项；</w:t>
      </w:r>
    </w:p>
    <w:p>
      <w:pPr>
        <w:spacing w:line="360" w:lineRule="auto"/>
        <w:ind w:firstLine="480" w:firstLineChars="200"/>
        <w:rPr>
          <w:bCs/>
          <w:sz w:val="24"/>
        </w:rPr>
      </w:pPr>
      <w:r>
        <w:rPr>
          <w:bCs/>
          <w:sz w:val="24"/>
        </w:rPr>
        <w:t>19、本基金暂停接受申购、赎回申请</w:t>
      </w:r>
      <w:r>
        <w:rPr>
          <w:rFonts w:hint="eastAsia"/>
          <w:bCs/>
          <w:sz w:val="24"/>
        </w:rPr>
        <w:t>或</w:t>
      </w:r>
      <w:r>
        <w:rPr>
          <w:bCs/>
          <w:sz w:val="24"/>
        </w:rPr>
        <w:t>重新接受申购、赎回</w:t>
      </w:r>
      <w:r>
        <w:rPr>
          <w:rFonts w:hint="eastAsia"/>
          <w:bCs/>
          <w:sz w:val="24"/>
        </w:rPr>
        <w:t>申请</w:t>
      </w:r>
      <w:r>
        <w:rPr>
          <w:bCs/>
          <w:sz w:val="24"/>
        </w:rPr>
        <w:t>；</w:t>
      </w:r>
    </w:p>
    <w:p>
      <w:pPr>
        <w:spacing w:line="360" w:lineRule="auto"/>
        <w:ind w:firstLine="480" w:firstLineChars="200"/>
        <w:rPr>
          <w:bCs/>
          <w:sz w:val="24"/>
        </w:rPr>
      </w:pPr>
      <w:r>
        <w:rPr>
          <w:rFonts w:hint="eastAsia"/>
          <w:bCs/>
          <w:sz w:val="24"/>
        </w:rPr>
        <w:t>20、本基金发生涉及基金申购、赎回事项调整或潜在影响投资者赎回等重大事项时；</w:t>
      </w:r>
    </w:p>
    <w:p>
      <w:pPr>
        <w:spacing w:line="360" w:lineRule="auto"/>
        <w:ind w:firstLine="480" w:firstLineChars="200"/>
        <w:rPr>
          <w:bCs/>
          <w:sz w:val="24"/>
        </w:rPr>
      </w:pPr>
      <w:r>
        <w:rPr>
          <w:rFonts w:hint="eastAsia"/>
          <w:bCs/>
          <w:sz w:val="24"/>
        </w:rPr>
        <w:t>21、基金管理人采用摆动定价机制进行估值；</w:t>
      </w:r>
    </w:p>
    <w:p>
      <w:pPr>
        <w:spacing w:line="360" w:lineRule="auto"/>
        <w:ind w:firstLine="480" w:firstLineChars="200"/>
        <w:rPr>
          <w:bCs/>
          <w:sz w:val="24"/>
        </w:rPr>
      </w:pPr>
      <w:r>
        <w:rPr>
          <w:rFonts w:hint="eastAsia"/>
          <w:bCs/>
          <w:sz w:val="24"/>
        </w:rPr>
        <w:t>22、调整基金份额类别的设置；</w:t>
      </w:r>
    </w:p>
    <w:p>
      <w:pPr>
        <w:spacing w:line="360" w:lineRule="auto"/>
        <w:ind w:firstLine="480" w:firstLineChars="200"/>
        <w:rPr>
          <w:bCs/>
          <w:sz w:val="24"/>
        </w:rPr>
      </w:pPr>
      <w:r>
        <w:rPr>
          <w:rFonts w:hint="eastAsia"/>
          <w:bCs/>
          <w:sz w:val="24"/>
        </w:rPr>
        <w:t>23、基金推出新业务或服务；</w:t>
      </w:r>
    </w:p>
    <w:p>
      <w:pPr>
        <w:spacing w:line="360" w:lineRule="auto"/>
        <w:ind w:firstLine="480" w:firstLineChars="200"/>
        <w:rPr>
          <w:bCs/>
          <w:sz w:val="24"/>
        </w:rPr>
      </w:pPr>
      <w:r>
        <w:rPr>
          <w:rFonts w:hint="eastAsia"/>
          <w:bCs/>
          <w:sz w:val="24"/>
        </w:rPr>
        <w:t>24、基金信息披露义务人认为可能对基金份额持有人权益或者基金份额的价格产生重大影响的其他事项或</w:t>
      </w:r>
      <w:r>
        <w:rPr>
          <w:bCs/>
          <w:sz w:val="24"/>
        </w:rPr>
        <w:t>中国证监会规定的其他事项。</w:t>
      </w:r>
    </w:p>
    <w:p>
      <w:pPr>
        <w:spacing w:line="360" w:lineRule="auto"/>
        <w:ind w:firstLine="480" w:firstLineChars="200"/>
        <w:rPr>
          <w:bCs/>
          <w:sz w:val="24"/>
        </w:rPr>
      </w:pPr>
      <w:r>
        <w:rPr>
          <w:bCs/>
          <w:sz w:val="24"/>
        </w:rPr>
        <w:t>（</w:t>
      </w:r>
      <w:r>
        <w:rPr>
          <w:rFonts w:hint="eastAsia"/>
          <w:bCs/>
          <w:sz w:val="24"/>
        </w:rPr>
        <w:t>八</w:t>
      </w:r>
      <w:r>
        <w:rPr>
          <w:bCs/>
          <w:sz w:val="24"/>
        </w:rPr>
        <w:t>）澄清公告</w:t>
      </w:r>
    </w:p>
    <w:p>
      <w:pPr>
        <w:spacing w:line="360" w:lineRule="auto"/>
        <w:ind w:firstLine="480" w:firstLineChars="20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pPr>
        <w:spacing w:line="360" w:lineRule="auto"/>
        <w:ind w:firstLine="480" w:firstLineChars="200"/>
        <w:rPr>
          <w:bCs/>
          <w:sz w:val="24"/>
        </w:rPr>
      </w:pPr>
      <w:r>
        <w:rPr>
          <w:bCs/>
          <w:sz w:val="24"/>
        </w:rPr>
        <w:t>（</w:t>
      </w:r>
      <w:r>
        <w:rPr>
          <w:rFonts w:hint="eastAsia"/>
          <w:bCs/>
          <w:sz w:val="24"/>
        </w:rPr>
        <w:t>九</w:t>
      </w:r>
      <w:r>
        <w:rPr>
          <w:bCs/>
          <w:sz w:val="24"/>
        </w:rPr>
        <w:t>）基金份额持有人大会决议</w:t>
      </w:r>
    </w:p>
    <w:p>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pPr>
        <w:spacing w:line="360" w:lineRule="auto"/>
        <w:ind w:firstLine="480" w:firstLineChars="200"/>
        <w:rPr>
          <w:bCs/>
          <w:sz w:val="24"/>
        </w:rPr>
      </w:pPr>
      <w:r>
        <w:rPr>
          <w:bCs/>
          <w:sz w:val="24"/>
        </w:rPr>
        <w:t>（</w:t>
      </w:r>
      <w:r>
        <w:rPr>
          <w:rFonts w:hint="eastAsia"/>
          <w:bCs/>
          <w:sz w:val="24"/>
        </w:rPr>
        <w:t>十</w:t>
      </w:r>
      <w:r>
        <w:rPr>
          <w:bCs/>
          <w:sz w:val="24"/>
        </w:rPr>
        <w:t>）</w:t>
      </w:r>
      <w:r>
        <w:rPr>
          <w:rFonts w:hint="eastAsia"/>
          <w:bCs/>
          <w:sz w:val="24"/>
        </w:rPr>
        <w:t>投资股指期货的信息披露</w:t>
      </w:r>
    </w:p>
    <w:p>
      <w:pPr>
        <w:spacing w:line="360" w:lineRule="auto"/>
        <w:ind w:firstLine="480" w:firstLineChars="200"/>
        <w:rPr>
          <w:bCs/>
          <w:sz w:val="24"/>
        </w:rPr>
      </w:pPr>
      <w:r>
        <w:rPr>
          <w:rFonts w:hint="eastAsia"/>
          <w:bCs/>
          <w:sz w:val="24"/>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spacing w:line="360" w:lineRule="auto"/>
        <w:ind w:firstLine="480" w:firstLineChars="200"/>
        <w:rPr>
          <w:bCs/>
          <w:sz w:val="24"/>
        </w:rPr>
      </w:pPr>
      <w:r>
        <w:rPr>
          <w:rFonts w:hint="eastAsia"/>
          <w:bCs/>
          <w:sz w:val="24"/>
        </w:rPr>
        <w:t xml:space="preserve">（十一）投资国债期货的信息披露 </w:t>
      </w:r>
    </w:p>
    <w:p>
      <w:pPr>
        <w:spacing w:line="360" w:lineRule="auto"/>
        <w:ind w:firstLine="480" w:firstLineChars="200"/>
        <w:rPr>
          <w:bCs/>
          <w:sz w:val="24"/>
        </w:rPr>
      </w:pPr>
      <w:r>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pPr>
        <w:spacing w:line="360" w:lineRule="auto"/>
        <w:ind w:firstLine="480" w:firstLineChars="200"/>
        <w:rPr>
          <w:bCs/>
          <w:sz w:val="24"/>
        </w:rPr>
      </w:pPr>
      <w:r>
        <w:rPr>
          <w:rFonts w:hint="eastAsia"/>
          <w:bCs/>
          <w:sz w:val="24"/>
        </w:rPr>
        <w:t>（十二）投资资产支持证券的信息披露</w:t>
      </w:r>
    </w:p>
    <w:p>
      <w:pPr>
        <w:spacing w:line="360" w:lineRule="auto"/>
        <w:ind w:firstLine="480" w:firstLineChars="200"/>
        <w:rPr>
          <w:bCs/>
          <w:sz w:val="24"/>
        </w:rPr>
      </w:pPr>
      <w:r>
        <w:rPr>
          <w:rFonts w:hint="eastAsia"/>
          <w:bCs/>
          <w:sz w:val="24"/>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80" w:firstLineChars="200"/>
        <w:rPr>
          <w:bCs/>
          <w:sz w:val="24"/>
        </w:rPr>
      </w:pPr>
      <w:r>
        <w:rPr>
          <w:rFonts w:hint="eastAsia"/>
          <w:bCs/>
          <w:sz w:val="24"/>
        </w:rPr>
        <w:t>（十三）投资非公开发行股票的信息披露</w:t>
      </w:r>
    </w:p>
    <w:p>
      <w:pPr>
        <w:spacing w:line="360" w:lineRule="auto"/>
        <w:ind w:firstLine="480" w:firstLineChars="200"/>
        <w:rPr>
          <w:bCs/>
          <w:sz w:val="24"/>
        </w:rPr>
      </w:pPr>
      <w:r>
        <w:rPr>
          <w:rFonts w:hint="eastAsia"/>
          <w:bCs/>
          <w:sz w:val="24"/>
        </w:rPr>
        <w:t>基金管理人应在基金投资非公开发行股票后，按照相关规定在中国证监会规定媒介披露所投资非公开发行股票的名称、数量、总成本、账面价值，以及总成本和账面价值占基金资产净值的比例、锁定期等信息。</w:t>
      </w:r>
    </w:p>
    <w:p>
      <w:pPr>
        <w:spacing w:line="360" w:lineRule="auto"/>
        <w:ind w:firstLine="480" w:firstLineChars="200"/>
        <w:rPr>
          <w:bCs/>
          <w:sz w:val="24"/>
        </w:rPr>
      </w:pPr>
      <w:r>
        <w:rPr>
          <w:rFonts w:hint="eastAsia"/>
          <w:bCs/>
          <w:sz w:val="24"/>
        </w:rPr>
        <w:t>（十四）清算</w:t>
      </w:r>
      <w:r>
        <w:rPr>
          <w:bCs/>
          <w:sz w:val="24"/>
        </w:rPr>
        <w:t>报告</w:t>
      </w:r>
    </w:p>
    <w:p>
      <w:pPr>
        <w:spacing w:line="360" w:lineRule="auto"/>
        <w:ind w:firstLine="480" w:firstLineChars="200"/>
        <w:rPr>
          <w:bCs/>
          <w:sz w:val="24"/>
        </w:rPr>
      </w:pPr>
      <w:r>
        <w:rPr>
          <w:rFonts w:hint="eastAsia"/>
          <w:bCs/>
          <w:sz w:val="24"/>
        </w:rPr>
        <w:t>基金</w:t>
      </w:r>
      <w:r>
        <w:rPr>
          <w:bCs/>
          <w:sz w:val="24"/>
        </w:rPr>
        <w:t>合同终止的，基金管理人应当依法组织基金财产清算小组对基金财产进行清算并作出清算报告</w:t>
      </w:r>
      <w:r>
        <w:rPr>
          <w:rFonts w:hint="eastAsia"/>
          <w:bCs/>
          <w:sz w:val="24"/>
        </w:rPr>
        <w:t>。</w:t>
      </w:r>
      <w:r>
        <w:rPr>
          <w:bCs/>
          <w:sz w:val="24"/>
        </w:rPr>
        <w:t>基金</w:t>
      </w:r>
      <w:r>
        <w:rPr>
          <w:rFonts w:hint="eastAsia"/>
          <w:bCs/>
          <w:sz w:val="24"/>
        </w:rPr>
        <w:t>财产</w:t>
      </w:r>
      <w:r>
        <w:rPr>
          <w:bCs/>
          <w:sz w:val="24"/>
        </w:rPr>
        <w:t>清算小组应当将清算报告登载在规定网站上，并将清算报告提示性公告登载在规定报刊上</w:t>
      </w:r>
      <w:r>
        <w:rPr>
          <w:rFonts w:hint="eastAsia"/>
          <w:bCs/>
          <w:sz w:val="24"/>
        </w:rPr>
        <w:t>。</w:t>
      </w:r>
    </w:p>
    <w:p>
      <w:pPr>
        <w:spacing w:line="360" w:lineRule="auto"/>
        <w:ind w:firstLine="480" w:firstLineChars="200"/>
        <w:rPr>
          <w:bCs/>
          <w:sz w:val="24"/>
        </w:rPr>
      </w:pPr>
      <w:r>
        <w:rPr>
          <w:rFonts w:hint="eastAsia"/>
          <w:bCs/>
          <w:sz w:val="24"/>
        </w:rPr>
        <w:t xml:space="preserve">（十五）实施侧袋机制期间的信息披露 </w:t>
      </w:r>
    </w:p>
    <w:p>
      <w:pPr>
        <w:spacing w:line="360" w:lineRule="auto"/>
        <w:ind w:firstLine="480" w:firstLineChars="200"/>
        <w:rPr>
          <w:bCs/>
          <w:sz w:val="24"/>
        </w:rPr>
      </w:pPr>
      <w:r>
        <w:rPr>
          <w:rFonts w:hint="eastAsia"/>
          <w:bCs/>
          <w:sz w:val="24"/>
        </w:rPr>
        <w:t>本基金实施侧袋机制的，相关信息披露义务人应当根据法律法规、基金合同和招募说明书的规定进行信息披露，详见招募说明书的规定。</w:t>
      </w:r>
    </w:p>
    <w:p>
      <w:pPr>
        <w:spacing w:line="360" w:lineRule="auto"/>
        <w:ind w:firstLine="480" w:firstLineChars="200"/>
        <w:rPr>
          <w:bCs/>
          <w:sz w:val="24"/>
        </w:rPr>
      </w:pPr>
      <w:r>
        <w:rPr>
          <w:rFonts w:hint="eastAsia"/>
          <w:bCs/>
          <w:sz w:val="24"/>
        </w:rPr>
        <w:t>（十六）</w:t>
      </w:r>
      <w:r>
        <w:rPr>
          <w:bCs/>
          <w:sz w:val="24"/>
        </w:rPr>
        <w:t>中国证监会规定的其他信息</w:t>
      </w:r>
    </w:p>
    <w:p>
      <w:pPr>
        <w:spacing w:line="360" w:lineRule="auto"/>
        <w:ind w:firstLine="480" w:firstLineChars="200"/>
        <w:rPr>
          <w:bCs/>
          <w:sz w:val="24"/>
        </w:rPr>
      </w:pPr>
      <w:r>
        <w:rPr>
          <w:bCs/>
          <w:sz w:val="24"/>
        </w:rPr>
        <w:t>六、信息披露事务管理</w:t>
      </w:r>
    </w:p>
    <w:p>
      <w:pPr>
        <w:spacing w:line="360" w:lineRule="auto"/>
        <w:ind w:firstLine="480" w:firstLineChars="20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pPr>
        <w:spacing w:line="360" w:lineRule="auto"/>
        <w:ind w:firstLine="480" w:firstLineChars="20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pPr>
        <w:spacing w:line="360" w:lineRule="auto"/>
        <w:ind w:firstLine="480" w:firstLineChars="200"/>
        <w:rPr>
          <w:bCs/>
          <w:sz w:val="24"/>
        </w:rPr>
      </w:pPr>
      <w:r>
        <w:rPr>
          <w:bCs/>
          <w:sz w:val="24"/>
        </w:rPr>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基金份额净值、基金份额申购赎回价格、基金定期报告和更新的招募说明书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pPr>
        <w:spacing w:line="360" w:lineRule="auto"/>
        <w:ind w:firstLine="480" w:firstLineChars="200"/>
        <w:rPr>
          <w:bCs/>
          <w:sz w:val="24"/>
        </w:rPr>
      </w:pPr>
      <w:r>
        <w:rPr>
          <w:bCs/>
          <w:sz w:val="24"/>
        </w:rPr>
        <w:t>基金管理人、基金托管人应当在规定报刊中选择一家报刊披露本基金信息。</w:t>
      </w:r>
      <w:r>
        <w:rPr>
          <w:rFonts w:hint="eastAsia"/>
          <w:bCs/>
          <w:sz w:val="24"/>
        </w:rPr>
        <w:t>基金管理人、基金托管人应当向中国证监会基金电子披露网站报送拟披露的基金信息，并保证相关报送信息的真实、准确、完整、及时。</w:t>
      </w:r>
    </w:p>
    <w:p>
      <w:pPr>
        <w:spacing w:line="360" w:lineRule="auto"/>
        <w:ind w:firstLine="480" w:firstLineChars="20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pPr>
        <w:spacing w:line="360" w:lineRule="auto"/>
        <w:ind w:firstLine="480" w:firstLineChars="200"/>
        <w:rPr>
          <w:bCs/>
          <w:sz w:val="24"/>
        </w:rPr>
      </w:pPr>
      <w:r>
        <w:rPr>
          <w:bCs/>
          <w:sz w:val="24"/>
        </w:rPr>
        <w:t>七、信息披露文件的存放与查阅</w:t>
      </w:r>
    </w:p>
    <w:p>
      <w:pPr>
        <w:spacing w:line="360" w:lineRule="auto"/>
        <w:ind w:firstLine="480" w:firstLineChars="200"/>
        <w:rPr>
          <w:bCs/>
          <w:sz w:val="24"/>
        </w:rPr>
      </w:pPr>
      <w:r>
        <w:rPr>
          <w:rFonts w:hint="eastAsia"/>
          <w:bCs/>
          <w:sz w:val="24"/>
        </w:rPr>
        <w:t>依法必须披露的信息发布后，基金管理人、基金托管人应当按照相关法律法规规定将信息置备于各自住所，供社会公众查阅、复制。</w:t>
      </w:r>
    </w:p>
    <w:p>
      <w:pPr>
        <w:spacing w:line="360" w:lineRule="auto"/>
        <w:ind w:firstLine="480" w:firstLineChars="200"/>
        <w:rPr>
          <w:bCs/>
          <w:sz w:val="24"/>
          <w:shd w:val="pct10" w:color="auto" w:fill="FFFFFF"/>
        </w:rPr>
      </w:pPr>
      <w:r>
        <w:rPr>
          <w:rFonts w:hint="eastAsia"/>
          <w:bCs/>
          <w:sz w:val="24"/>
        </w:rPr>
        <w:t>八、当出现下述情况时，基金管理人和基金托管人可暂停或延迟披露基金相关信息：</w:t>
      </w:r>
    </w:p>
    <w:p>
      <w:pPr>
        <w:spacing w:line="360" w:lineRule="auto"/>
        <w:ind w:firstLine="480" w:firstLineChars="200"/>
        <w:rPr>
          <w:bCs/>
          <w:sz w:val="24"/>
        </w:rPr>
      </w:pPr>
      <w:r>
        <w:rPr>
          <w:rFonts w:hint="eastAsia"/>
          <w:bCs/>
          <w:sz w:val="24"/>
        </w:rPr>
        <w:t>1、不可抗力；</w:t>
      </w:r>
    </w:p>
    <w:p>
      <w:pPr>
        <w:spacing w:line="360" w:lineRule="auto"/>
        <w:ind w:firstLine="480" w:firstLineChars="200"/>
        <w:rPr>
          <w:bCs/>
          <w:sz w:val="24"/>
        </w:rPr>
      </w:pPr>
      <w:r>
        <w:rPr>
          <w:rFonts w:hint="eastAsia"/>
          <w:bCs/>
          <w:sz w:val="24"/>
        </w:rPr>
        <w:t>2、基金投资所涉及的证券、期货交易市场遇法定节假日或因其他原因暂停营业时；</w:t>
      </w:r>
    </w:p>
    <w:p>
      <w:pPr>
        <w:spacing w:line="360" w:lineRule="auto"/>
        <w:ind w:firstLine="480" w:firstLineChars="200"/>
        <w:rPr>
          <w:bCs/>
          <w:sz w:val="24"/>
        </w:rPr>
      </w:pPr>
      <w:r>
        <w:rPr>
          <w:rFonts w:hint="eastAsia"/>
          <w:bCs/>
          <w:sz w:val="24"/>
        </w:rPr>
        <w:t>3、当前一估值日基金资产净值50%以上的资产出现无可参考的活跃市场价格且采用估值技术仍导致公允价值存在重大不确定性时，经与基金托管人协商一致决定暂停估值的；</w:t>
      </w:r>
    </w:p>
    <w:p>
      <w:pPr>
        <w:spacing w:line="360" w:lineRule="auto"/>
        <w:ind w:firstLine="480" w:firstLineChars="200"/>
        <w:rPr>
          <w:bCs/>
          <w:sz w:val="24"/>
        </w:rPr>
      </w:pPr>
      <w:r>
        <w:rPr>
          <w:bCs/>
          <w:sz w:val="24"/>
        </w:rPr>
        <w:t>4</w:t>
      </w:r>
      <w:r>
        <w:rPr>
          <w:rFonts w:hint="eastAsia"/>
          <w:bCs/>
          <w:sz w:val="24"/>
        </w:rPr>
        <w:t>、法律法规、《基金合同》或中国证监会规定的情况。</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384" w:name="_Toc8059"/>
      <w:bookmarkStart w:id="385" w:name="_Toc7170"/>
      <w:bookmarkStart w:id="386" w:name="_Toc27464"/>
      <w:bookmarkStart w:id="387" w:name="_Toc19173714"/>
      <w:bookmarkStart w:id="388" w:name="_Toc29891"/>
      <w:bookmarkStart w:id="389" w:name="_Toc11113"/>
      <w:bookmarkStart w:id="390" w:name="_Toc6237"/>
      <w:bookmarkStart w:id="391" w:name="_Toc123112247"/>
      <w:bookmarkStart w:id="392" w:name="_Toc22978"/>
      <w:bookmarkStart w:id="393" w:name="_Toc10006"/>
      <w:bookmarkStart w:id="394" w:name="_Toc123051465"/>
      <w:bookmarkStart w:id="395" w:name="_Toc139991749"/>
      <w:bookmarkStart w:id="396" w:name="_Toc98560364"/>
      <w:bookmarkStart w:id="397" w:name="_Toc25647"/>
      <w:bookmarkStart w:id="398" w:name="_Toc123102466"/>
      <w:bookmarkStart w:id="399" w:name="_Toc8049"/>
      <w:bookmarkStart w:id="400" w:name="_Toc9005"/>
      <w:bookmarkStart w:id="401" w:name="_Toc141703899"/>
      <w:r>
        <w:rPr>
          <w:rFonts w:ascii="Times New Roman"/>
          <w:color w:val="auto"/>
          <w:sz w:val="30"/>
        </w:rPr>
        <w:t xml:space="preserve">第十九部分  </w:t>
      </w:r>
      <w:bookmarkStart w:id="402" w:name="_Hlt88828593"/>
      <w:r>
        <w:rPr>
          <w:rFonts w:ascii="Times New Roman"/>
          <w:color w:val="auto"/>
          <w:sz w:val="30"/>
        </w:rPr>
        <w:t>基金合同</w:t>
      </w:r>
      <w:bookmarkEnd w:id="402"/>
      <w:r>
        <w:rPr>
          <w:rFonts w:ascii="Times New Roman"/>
          <w:color w:val="auto"/>
          <w:sz w:val="30"/>
        </w:rPr>
        <w:t>的变更、终止与基金财产的清算</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spacing w:line="360" w:lineRule="auto"/>
        <w:ind w:firstLine="480" w:firstLineChars="200"/>
        <w:rPr>
          <w:bCs/>
          <w:sz w:val="24"/>
        </w:rPr>
      </w:pPr>
    </w:p>
    <w:p>
      <w:pPr>
        <w:spacing w:line="360" w:lineRule="auto"/>
        <w:ind w:firstLine="480" w:firstLineChars="200"/>
        <w:rPr>
          <w:bCs/>
          <w:sz w:val="24"/>
        </w:rPr>
      </w:pPr>
      <w:bookmarkStart w:id="403" w:name="_Toc79392639"/>
      <w:r>
        <w:rPr>
          <w:bCs/>
          <w:sz w:val="24"/>
        </w:rPr>
        <w:t>一、《基金合同》的变更</w:t>
      </w:r>
      <w:bookmarkEnd w:id="403"/>
    </w:p>
    <w:p>
      <w:pPr>
        <w:spacing w:line="360" w:lineRule="auto"/>
        <w:ind w:firstLine="480" w:firstLineChars="200"/>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自生效</w:t>
      </w:r>
      <w:r>
        <w:rPr>
          <w:bCs/>
          <w:sz w:val="24"/>
        </w:rPr>
        <w:t>后方可执行，自决议生效后两日内在规定媒介公告。</w:t>
      </w:r>
    </w:p>
    <w:p>
      <w:pPr>
        <w:spacing w:line="360" w:lineRule="auto"/>
        <w:ind w:firstLine="480" w:firstLineChars="200"/>
        <w:rPr>
          <w:sz w:val="24"/>
        </w:rPr>
      </w:pPr>
      <w:r>
        <w:rPr>
          <w:rFonts w:hint="eastAsia"/>
          <w:sz w:val="24"/>
        </w:rPr>
        <w:t>二、《基金合同》的终止事由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rPr>
          <w:bCs/>
          <w:sz w:val="24"/>
        </w:rPr>
      </w:pPr>
      <w:r>
        <w:rPr>
          <w:rFonts w:hint="eastAsia"/>
          <w:bCs/>
          <w:sz w:val="24"/>
        </w:rPr>
        <w:t>三</w:t>
      </w:r>
      <w:r>
        <w:rPr>
          <w:bCs/>
          <w:sz w:val="24"/>
        </w:rPr>
        <w:t>、基金财产的清算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w:t>
      </w:r>
      <w:r>
        <w:rPr>
          <w:rFonts w:hint="eastAsia"/>
          <w:bCs/>
          <w:sz w:val="24"/>
        </w:rPr>
        <w:t>符合《中华人民共和国证券法》规定的</w:t>
      </w:r>
      <w:r>
        <w:rPr>
          <w:bCs/>
          <w:sz w:val="24"/>
        </w:rPr>
        <w:t>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w:t>
      </w:r>
      <w:r>
        <w:rPr>
          <w:rFonts w:hint="eastAsia"/>
          <w:bCs/>
          <w:sz w:val="24"/>
        </w:rPr>
        <w:t>为6个月，但因本基金所持证券的流动性受到限制而不能及时变现的，清算期限相应顺延。</w:t>
      </w:r>
    </w:p>
    <w:p>
      <w:pPr>
        <w:spacing w:line="360" w:lineRule="auto"/>
        <w:ind w:firstLine="480" w:firstLineChars="200"/>
        <w:rPr>
          <w:bCs/>
          <w:sz w:val="24"/>
        </w:rPr>
      </w:pPr>
      <w:r>
        <w:rPr>
          <w:rFonts w:hint="eastAsia"/>
          <w:bCs/>
          <w:sz w:val="24"/>
        </w:rPr>
        <w:t>四</w:t>
      </w:r>
      <w:r>
        <w:rPr>
          <w:bCs/>
          <w:sz w:val="24"/>
        </w:rPr>
        <w:t>、清算费用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spacing w:line="360" w:lineRule="auto"/>
        <w:ind w:firstLine="480" w:firstLineChars="200"/>
        <w:rPr>
          <w:bCs/>
          <w:sz w:val="24"/>
        </w:rPr>
      </w:pPr>
      <w:r>
        <w:rPr>
          <w:rFonts w:hint="eastAsia"/>
          <w:bCs/>
          <w:sz w:val="24"/>
        </w:rPr>
        <w:t>五</w:t>
      </w:r>
      <w:r>
        <w:rPr>
          <w:bCs/>
          <w:sz w:val="24"/>
        </w:rPr>
        <w:t>、基金财产清算剩余资产的分配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rFonts w:hint="eastAsia"/>
          <w:bCs/>
          <w:sz w:val="24"/>
        </w:rPr>
        <w:t>六</w:t>
      </w:r>
      <w:r>
        <w:rPr>
          <w:bCs/>
          <w:sz w:val="24"/>
        </w:rPr>
        <w:t>、基金财产清算的公告</w:t>
      </w:r>
    </w:p>
    <w:p>
      <w:pPr>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符合《中华人民共和国证券法》规定的会计师事务所</w:t>
      </w:r>
      <w:r>
        <w:rPr>
          <w:bCs/>
          <w:sz w:val="24"/>
        </w:rPr>
        <w:t>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spacing w:line="360" w:lineRule="auto"/>
        <w:ind w:firstLine="480" w:firstLineChars="200"/>
        <w:rPr>
          <w:bCs/>
          <w:sz w:val="24"/>
        </w:rPr>
      </w:pPr>
      <w:r>
        <w:rPr>
          <w:rFonts w:hint="eastAsia"/>
          <w:bCs/>
          <w:sz w:val="24"/>
        </w:rPr>
        <w:t>七</w:t>
      </w:r>
      <w:r>
        <w:rPr>
          <w:bCs/>
          <w:sz w:val="24"/>
        </w:rPr>
        <w:t>、基金财产清算账册及文件的保存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15</w:t>
      </w:r>
      <w:r>
        <w:rPr>
          <w:bCs/>
          <w:sz w:val="24"/>
        </w:rPr>
        <w:t>年以上。</w:t>
      </w:r>
    </w:p>
    <w:p>
      <w:pPr>
        <w:spacing w:line="360" w:lineRule="auto"/>
        <w:ind w:firstLine="480" w:firstLineChars="200"/>
        <w:rPr>
          <w:bCs/>
          <w:sz w:val="24"/>
        </w:rPr>
      </w:pPr>
    </w:p>
    <w:p>
      <w:pPr>
        <w:pStyle w:val="2"/>
        <w:spacing w:before="0" w:after="0"/>
        <w:jc w:val="center"/>
        <w:rPr>
          <w:rFonts w:ascii="Times New Roman"/>
          <w:color w:val="auto"/>
          <w:sz w:val="30"/>
        </w:rPr>
      </w:pPr>
      <w:bookmarkStart w:id="404" w:name="_Toc48649720"/>
      <w:bookmarkStart w:id="405" w:name="_Toc79392641"/>
      <w:bookmarkStart w:id="406" w:name="_Toc123102467"/>
      <w:bookmarkStart w:id="407" w:name="_Toc98560365"/>
      <w:bookmarkStart w:id="408" w:name="_Toc123051466"/>
      <w:bookmarkStart w:id="409" w:name="_Toc123112248"/>
      <w:r>
        <w:rPr>
          <w:rFonts w:ascii="Times New Roman"/>
          <w:b w:val="0"/>
          <w:bCs/>
          <w:color w:val="auto"/>
        </w:rPr>
        <w:br w:type="page"/>
      </w:r>
      <w:bookmarkStart w:id="410" w:name="_Toc12191"/>
      <w:bookmarkStart w:id="411" w:name="_Toc7367"/>
      <w:bookmarkStart w:id="412" w:name="_Toc30645"/>
      <w:bookmarkStart w:id="413" w:name="_Toc23022"/>
      <w:bookmarkStart w:id="414" w:name="_Toc21240"/>
      <w:bookmarkStart w:id="415" w:name="_Toc13398"/>
      <w:bookmarkStart w:id="416" w:name="_Toc19173715"/>
      <w:bookmarkStart w:id="417" w:name="_Toc8710"/>
      <w:bookmarkStart w:id="418" w:name="_Toc139991750"/>
      <w:bookmarkStart w:id="419" w:name="_Toc141703901"/>
      <w:bookmarkStart w:id="420" w:name="_Toc9708"/>
      <w:bookmarkStart w:id="421" w:name="_Toc23166"/>
      <w:bookmarkStart w:id="422" w:name="_Toc27058"/>
      <w:bookmarkStart w:id="423" w:name="_Toc28549"/>
      <w:r>
        <w:rPr>
          <w:rFonts w:ascii="Times New Roman"/>
          <w:color w:val="auto"/>
          <w:sz w:val="30"/>
        </w:rPr>
        <w:t>第二十部分  违约责任</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pPr>
        <w:spacing w:line="360" w:lineRule="auto"/>
        <w:ind w:firstLine="480" w:firstLineChars="200"/>
        <w:rPr>
          <w:bCs/>
          <w:sz w:val="24"/>
        </w:rPr>
      </w:pPr>
      <w:r>
        <w:rPr>
          <w:rFonts w:hint="eastAsia"/>
          <w:bCs/>
          <w:sz w:val="24"/>
        </w:rPr>
        <w:t>1、不可抗力；</w:t>
      </w:r>
    </w:p>
    <w:p>
      <w:pPr>
        <w:spacing w:line="360" w:lineRule="auto"/>
        <w:ind w:firstLine="480" w:firstLineChars="200"/>
        <w:rPr>
          <w:bCs/>
          <w:sz w:val="24"/>
        </w:rPr>
      </w:pPr>
      <w:r>
        <w:rPr>
          <w:rFonts w:hint="eastAsia"/>
          <w:bCs/>
          <w:sz w:val="24"/>
        </w:rPr>
        <w:t>2、基金管理人及基金托管人按照当时有效的法律法规或中国证监会的规定作为或不作为而造成的损失等；</w:t>
      </w:r>
    </w:p>
    <w:p>
      <w:pPr>
        <w:spacing w:line="360" w:lineRule="auto"/>
        <w:ind w:firstLine="480" w:firstLineChars="200"/>
        <w:rPr>
          <w:bCs/>
          <w:sz w:val="24"/>
        </w:rPr>
      </w:pPr>
      <w:r>
        <w:rPr>
          <w:rFonts w:hint="eastAsia"/>
          <w:bCs/>
          <w:sz w:val="24"/>
        </w:rPr>
        <w:t>3、基金管理人由于按照《基金合同》规定的投资原则行使或不行使其投资权而造成的损失等。</w:t>
      </w:r>
    </w:p>
    <w:p>
      <w:pPr>
        <w:spacing w:line="360" w:lineRule="auto"/>
        <w:ind w:firstLine="480" w:firstLineChars="200"/>
        <w:rPr>
          <w:bCs/>
          <w:sz w:val="24"/>
        </w:rPr>
      </w:pPr>
      <w:r>
        <w:rPr>
          <w:bCs/>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rPr>
        <w:br w:type="page"/>
      </w:r>
      <w:bookmarkStart w:id="424" w:name="_Toc25651"/>
      <w:bookmarkStart w:id="425" w:name="_Toc98560366"/>
      <w:bookmarkStart w:id="426" w:name="_Toc123112249"/>
      <w:bookmarkStart w:id="427" w:name="_Toc123102468"/>
      <w:bookmarkStart w:id="428" w:name="_Toc8636"/>
      <w:bookmarkStart w:id="429" w:name="_Toc123051467"/>
      <w:bookmarkStart w:id="430" w:name="_Toc24923"/>
      <w:bookmarkStart w:id="431" w:name="_Toc6202"/>
      <w:bookmarkStart w:id="432" w:name="_Toc7288"/>
      <w:bookmarkStart w:id="433" w:name="_Toc30350"/>
      <w:bookmarkStart w:id="434" w:name="_Toc1790"/>
      <w:bookmarkStart w:id="435" w:name="_Toc3319"/>
      <w:bookmarkStart w:id="436" w:name="_Toc21983"/>
      <w:bookmarkStart w:id="437" w:name="_Toc23999"/>
      <w:bookmarkStart w:id="438" w:name="_Toc141703902"/>
      <w:bookmarkStart w:id="439" w:name="_Toc6110"/>
      <w:bookmarkStart w:id="440" w:name="_Toc139991751"/>
      <w:bookmarkStart w:id="441" w:name="_Toc19173716"/>
      <w:r>
        <w:rPr>
          <w:rFonts w:ascii="Times New Roman"/>
          <w:color w:val="auto"/>
          <w:sz w:val="30"/>
        </w:rPr>
        <w:t>第二十一部分  争议的处理和适用的法律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spacing w:line="360" w:lineRule="auto"/>
        <w:ind w:firstLine="480" w:firstLineChars="200"/>
        <w:rPr>
          <w:bCs/>
          <w:sz w:val="24"/>
        </w:rPr>
      </w:pPr>
    </w:p>
    <w:p>
      <w:pPr>
        <w:spacing w:line="360" w:lineRule="auto"/>
        <w:ind w:firstLine="480" w:firstLineChars="200"/>
        <w:rPr>
          <w:bCs/>
          <w:sz w:val="24"/>
        </w:rPr>
      </w:pPr>
      <w:r>
        <w:rPr>
          <w:rFonts w:hint="eastAsia"/>
          <w:bCs/>
          <w:sz w:val="24"/>
        </w:rPr>
        <w:t>各方当事人同意，因《基金合同》而产生的或与《基金合同》有关的一切争议，如经友好协商未能解决的，任何一方均有权提交</w:t>
      </w:r>
      <w:r>
        <w:rPr>
          <w:rFonts w:hint="eastAsia" w:ascii="宋体" w:hAnsi="宋体"/>
          <w:kern w:val="0"/>
          <w:sz w:val="24"/>
        </w:rPr>
        <w:t>深圳国际仲裁院</w:t>
      </w:r>
      <w:r>
        <w:rPr>
          <w:bCs/>
          <w:sz w:val="24"/>
        </w:rPr>
        <w:t>，根据</w:t>
      </w:r>
      <w:r>
        <w:rPr>
          <w:rFonts w:hint="eastAsia"/>
          <w:bCs/>
          <w:sz w:val="24"/>
        </w:rPr>
        <w:t>深圳国际仲裁院</w:t>
      </w:r>
      <w:r>
        <w:rPr>
          <w:bCs/>
          <w:sz w:val="24"/>
        </w:rPr>
        <w:t>当时有效的</w:t>
      </w:r>
      <w:r>
        <w:rPr>
          <w:sz w:val="24"/>
        </w:rPr>
        <w:t>仲裁</w:t>
      </w:r>
      <w:r>
        <w:rPr>
          <w:bCs/>
          <w:sz w:val="24"/>
        </w:rPr>
        <w:t>规则进行</w:t>
      </w:r>
      <w:r>
        <w:rPr>
          <w:sz w:val="24"/>
        </w:rPr>
        <w:t>仲裁</w:t>
      </w:r>
      <w:r>
        <w:rPr>
          <w:bCs/>
          <w:sz w:val="24"/>
        </w:rPr>
        <w:t>，</w:t>
      </w:r>
      <w:r>
        <w:rPr>
          <w:sz w:val="24"/>
        </w:rPr>
        <w:t>仲裁地点为</w:t>
      </w:r>
      <w:r>
        <w:rPr>
          <w:rFonts w:hint="eastAsia"/>
          <w:bCs/>
          <w:sz w:val="24"/>
        </w:rPr>
        <w:t>深圳</w:t>
      </w:r>
      <w:r>
        <w:rPr>
          <w:bCs/>
          <w:sz w:val="24"/>
        </w:rPr>
        <w:t>市，</w:t>
      </w:r>
      <w:r>
        <w:rPr>
          <w:rFonts w:hint="eastAsia"/>
          <w:bCs/>
          <w:sz w:val="24"/>
        </w:rPr>
        <w:t>仲裁裁决是终局性的并对各方当事人具有约束力，仲裁费用由败诉方承担。</w:t>
      </w:r>
    </w:p>
    <w:p>
      <w:pPr>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rFonts w:hint="eastAsia"/>
          <w:bCs/>
          <w:sz w:val="24"/>
        </w:rPr>
        <w:t>《基金合同》受中国法律管辖。</w:t>
      </w:r>
    </w:p>
    <w:p>
      <w:pPr>
        <w:spacing w:line="360" w:lineRule="auto"/>
        <w:ind w:firstLine="480" w:firstLineChars="200"/>
        <w:rPr>
          <w:bCs/>
          <w:sz w:val="24"/>
        </w:rPr>
      </w:pPr>
    </w:p>
    <w:p>
      <w:pPr>
        <w:spacing w:line="360" w:lineRule="auto"/>
        <w:ind w:firstLine="480" w:firstLineChars="200"/>
        <w:rPr>
          <w:bCs/>
          <w:sz w:val="24"/>
        </w:rPr>
      </w:pPr>
    </w:p>
    <w:p>
      <w:pPr>
        <w:pStyle w:val="2"/>
        <w:spacing w:before="0" w:after="0"/>
        <w:jc w:val="center"/>
        <w:rPr>
          <w:rFonts w:ascii="Times New Roman"/>
          <w:color w:val="auto"/>
          <w:sz w:val="30"/>
        </w:rPr>
      </w:pPr>
      <w:bookmarkStart w:id="442" w:name="_Toc139991752"/>
      <w:bookmarkStart w:id="443" w:name="_Toc123102469"/>
      <w:bookmarkStart w:id="444" w:name="_Toc123112250"/>
      <w:bookmarkStart w:id="445" w:name="_Toc141703903"/>
      <w:bookmarkStart w:id="446" w:name="_Toc8454"/>
      <w:bookmarkStart w:id="447" w:name="_Toc29505"/>
      <w:bookmarkStart w:id="448" w:name="_Toc31966"/>
      <w:bookmarkStart w:id="449" w:name="_Toc484"/>
      <w:bookmarkStart w:id="450" w:name="_Toc23991"/>
      <w:bookmarkStart w:id="451" w:name="_Toc11618"/>
      <w:bookmarkStart w:id="452" w:name="_Toc123051468"/>
      <w:bookmarkStart w:id="453" w:name="_Toc26461"/>
      <w:bookmarkStart w:id="454" w:name="_Toc20350"/>
      <w:bookmarkStart w:id="455" w:name="_Toc8703"/>
      <w:bookmarkStart w:id="456" w:name="_Toc2532"/>
      <w:r>
        <w:rPr>
          <w:rFonts w:ascii="Times New Roman"/>
          <w:color w:val="auto"/>
          <w:sz w:val="30"/>
        </w:rPr>
        <w:br w:type="page"/>
      </w:r>
      <w:bookmarkStart w:id="457" w:name="_Toc28690"/>
      <w:bookmarkStart w:id="458" w:name="_Toc19173717"/>
      <w:r>
        <w:rPr>
          <w:rFonts w:ascii="Times New Roman"/>
          <w:color w:val="auto"/>
          <w:sz w:val="30"/>
        </w:rPr>
        <w:t>第二十二部分  基金合同的效力</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spacing w:line="360" w:lineRule="auto"/>
        <w:ind w:firstLine="480" w:firstLineChars="200"/>
        <w:rPr>
          <w:bCs/>
          <w:sz w:val="24"/>
        </w:rPr>
      </w:pPr>
    </w:p>
    <w:p>
      <w:pPr>
        <w:spacing w:line="360" w:lineRule="auto"/>
        <w:ind w:firstLine="480" w:firstLineChars="200"/>
        <w:rPr>
          <w:bCs/>
          <w:sz w:val="24"/>
        </w:rPr>
      </w:pPr>
      <w:r>
        <w:rPr>
          <w:bCs/>
          <w:sz w:val="24"/>
        </w:rPr>
        <w:t>《基金合同》是约定基金</w:t>
      </w:r>
      <w:r>
        <w:rPr>
          <w:rFonts w:hint="eastAsia"/>
          <w:bCs/>
          <w:sz w:val="24"/>
        </w:rPr>
        <w:t>合同</w:t>
      </w:r>
      <w:r>
        <w:rPr>
          <w:bCs/>
          <w:sz w:val="24"/>
        </w:rPr>
        <w:t>当事人之间权利义务关系的法律文件。</w:t>
      </w:r>
    </w:p>
    <w:p>
      <w:pPr>
        <w:spacing w:line="360" w:lineRule="auto"/>
        <w:ind w:firstLine="480" w:firstLineChars="200"/>
        <w:rPr>
          <w:bCs/>
          <w:sz w:val="24"/>
        </w:rPr>
      </w:pPr>
      <w:r>
        <w:rPr>
          <w:bCs/>
          <w:sz w:val="24"/>
        </w:rPr>
        <w:t>1、《基金合同》经基金管理人、基金托管人双方</w:t>
      </w:r>
      <w:r>
        <w:rPr>
          <w:rFonts w:hint="eastAsia"/>
          <w:bCs/>
          <w:sz w:val="24"/>
        </w:rPr>
        <w:t>加</w:t>
      </w:r>
      <w:r>
        <w:rPr>
          <w:bCs/>
          <w:sz w:val="24"/>
        </w:rPr>
        <w:t>盖</w:t>
      </w:r>
      <w:r>
        <w:rPr>
          <w:rFonts w:hint="eastAsia"/>
          <w:bCs/>
          <w:sz w:val="24"/>
        </w:rPr>
        <w:t>公</w:t>
      </w:r>
      <w:r>
        <w:rPr>
          <w:bCs/>
          <w:sz w:val="24"/>
        </w:rPr>
        <w:t>章以及双方法定代表人或授权</w:t>
      </w:r>
      <w:r>
        <w:rPr>
          <w:rFonts w:hint="eastAsia"/>
          <w:bCs/>
          <w:sz w:val="24"/>
        </w:rPr>
        <w:t>代表</w:t>
      </w:r>
      <w:r>
        <w:rPr>
          <w:bCs/>
          <w:sz w:val="24"/>
        </w:rPr>
        <w:t>签字</w:t>
      </w:r>
      <w:r>
        <w:rPr>
          <w:rFonts w:hint="eastAsia"/>
          <w:bCs/>
          <w:sz w:val="24"/>
        </w:rPr>
        <w:t>（或盖章）</w:t>
      </w:r>
      <w:r>
        <w:rPr>
          <w:bCs/>
          <w:sz w:val="24"/>
        </w:rPr>
        <w:t>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w:t>
      </w:r>
      <w:r>
        <w:rPr>
          <w:rFonts w:hint="eastAsia"/>
          <w:bCs/>
          <w:sz w:val="24"/>
        </w:rPr>
        <w:t>四</w:t>
      </w:r>
      <w:r>
        <w:rPr>
          <w:bCs/>
          <w:sz w:val="24"/>
        </w:rPr>
        <w:t>份，除上报有关监管机构一式</w:t>
      </w:r>
      <w:r>
        <w:rPr>
          <w:rFonts w:hint="eastAsia"/>
          <w:bCs/>
          <w:sz w:val="24"/>
        </w:rPr>
        <w:t>一</w:t>
      </w:r>
      <w:r>
        <w:rPr>
          <w:bCs/>
          <w:sz w:val="24"/>
        </w:rPr>
        <w:t>份外，基金管理人</w:t>
      </w:r>
      <w:r>
        <w:rPr>
          <w:rFonts w:hint="eastAsia"/>
          <w:bCs/>
          <w:sz w:val="24"/>
        </w:rPr>
        <w:t>持一份</w:t>
      </w:r>
      <w:r>
        <w:rPr>
          <w:bCs/>
          <w:sz w:val="24"/>
        </w:rPr>
        <w:t>、基金托管人持有</w:t>
      </w:r>
      <w:r>
        <w:rPr>
          <w:rFonts w:hint="eastAsia"/>
          <w:bCs/>
          <w:sz w:val="24"/>
        </w:rPr>
        <w:t>贰</w:t>
      </w:r>
      <w:r>
        <w:rPr>
          <w:bCs/>
          <w:sz w:val="24"/>
        </w:rPr>
        <w:t>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p>
    <w:p>
      <w:pPr>
        <w:pStyle w:val="2"/>
        <w:spacing w:before="0" w:after="0"/>
        <w:jc w:val="center"/>
        <w:rPr>
          <w:rFonts w:ascii="Times New Roman"/>
          <w:color w:val="auto"/>
          <w:sz w:val="30"/>
        </w:rPr>
      </w:pPr>
      <w:r>
        <w:rPr>
          <w:rFonts w:ascii="Times New Roman"/>
          <w:b w:val="0"/>
          <w:bCs/>
          <w:color w:val="auto"/>
        </w:rPr>
        <w:br w:type="page"/>
      </w:r>
      <w:bookmarkStart w:id="459" w:name="_Toc19173718"/>
      <w:bookmarkStart w:id="460" w:name="_Toc21726"/>
      <w:bookmarkStart w:id="461" w:name="_Toc9704"/>
      <w:r>
        <w:rPr>
          <w:rFonts w:hint="eastAsia" w:ascii="Times New Roman"/>
          <w:color w:val="auto"/>
          <w:sz w:val="30"/>
        </w:rPr>
        <w:t>第二十三部分  其他事项</w:t>
      </w:r>
      <w:bookmarkEnd w:id="459"/>
      <w:bookmarkEnd w:id="460"/>
      <w:bookmarkEnd w:id="461"/>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《基金合同》如有未尽事宜，由《基金合同》当事人各方按有关法律法规协商解决。</w:t>
      </w:r>
    </w:p>
    <w:p>
      <w:pPr>
        <w:spacing w:line="360" w:lineRule="auto"/>
        <w:ind w:firstLine="480" w:firstLineChars="200"/>
        <w:rPr>
          <w:rFonts w:ascii="宋体" w:hAnsi="宋体"/>
          <w:sz w:val="24"/>
        </w:rPr>
      </w:pPr>
    </w:p>
    <w:p>
      <w:pPr>
        <w:pStyle w:val="2"/>
        <w:spacing w:before="0" w:after="0"/>
        <w:jc w:val="center"/>
        <w:rPr>
          <w:rFonts w:ascii="Times New Roman"/>
          <w:color w:val="auto"/>
          <w:sz w:val="30"/>
        </w:rPr>
      </w:pPr>
      <w:bookmarkStart w:id="462" w:name="_Toc7437"/>
      <w:bookmarkStart w:id="463" w:name="_Toc21122"/>
      <w:bookmarkStart w:id="464" w:name="_Toc17263"/>
      <w:bookmarkStart w:id="465" w:name="_Toc141703905"/>
      <w:bookmarkStart w:id="466" w:name="_Toc12499"/>
      <w:bookmarkStart w:id="467" w:name="_Toc5108"/>
      <w:bookmarkStart w:id="468" w:name="_Toc15664"/>
      <w:bookmarkStart w:id="469" w:name="_Toc20098"/>
      <w:bookmarkStart w:id="470" w:name="_Toc32355"/>
      <w:bookmarkStart w:id="471" w:name="_Toc9054"/>
      <w:bookmarkStart w:id="472" w:name="_Toc1360"/>
      <w:r>
        <w:rPr>
          <w:rFonts w:ascii="Times New Roman"/>
          <w:color w:val="auto"/>
          <w:sz w:val="30"/>
        </w:rPr>
        <w:br w:type="page"/>
      </w:r>
      <w:bookmarkStart w:id="473" w:name="_Toc19173719"/>
      <w:bookmarkStart w:id="474" w:name="_Toc15045"/>
      <w:r>
        <w:rPr>
          <w:rFonts w:ascii="Times New Roman"/>
          <w:color w:val="auto"/>
          <w:sz w:val="30"/>
        </w:rPr>
        <w:t>第二十四部分  基金合同内容摘要</w:t>
      </w:r>
      <w:bookmarkEnd w:id="63"/>
      <w:bookmarkEnd w:id="64"/>
      <w:bookmarkEnd w:id="462"/>
      <w:bookmarkEnd w:id="463"/>
      <w:bookmarkEnd w:id="464"/>
      <w:bookmarkEnd w:id="465"/>
      <w:bookmarkEnd w:id="466"/>
      <w:bookmarkEnd w:id="467"/>
      <w:bookmarkEnd w:id="468"/>
      <w:bookmarkEnd w:id="469"/>
      <w:bookmarkEnd w:id="470"/>
      <w:bookmarkEnd w:id="471"/>
      <w:bookmarkEnd w:id="472"/>
      <w:bookmarkEnd w:id="473"/>
      <w:bookmarkEnd w:id="474"/>
    </w:p>
    <w:p>
      <w:pPr>
        <w:autoSpaceDE w:val="0"/>
        <w:autoSpaceDN w:val="0"/>
        <w:adjustRightInd w:val="0"/>
        <w:spacing w:line="360" w:lineRule="auto"/>
        <w:ind w:firstLine="420" w:firstLineChars="200"/>
        <w:jc w:val="right"/>
        <w:rPr>
          <w:bCs/>
        </w:rPr>
      </w:pPr>
    </w:p>
    <w:p>
      <w:pPr>
        <w:autoSpaceDE w:val="0"/>
        <w:autoSpaceDN w:val="0"/>
        <w:adjustRightInd w:val="0"/>
        <w:spacing w:line="360" w:lineRule="auto"/>
        <w:ind w:firstLine="480" w:firstLineChars="200"/>
        <w:jc w:val="left"/>
        <w:rPr>
          <w:bCs/>
          <w:sz w:val="24"/>
          <w:szCs w:val="24"/>
        </w:rPr>
      </w:pPr>
      <w:r>
        <w:rPr>
          <w:rFonts w:hint="eastAsia"/>
          <w:bCs/>
          <w:sz w:val="24"/>
          <w:szCs w:val="24"/>
        </w:rPr>
        <w:t>一、基金份额持有人、基金管理人和基金托管人的权利、义务</w:t>
      </w:r>
    </w:p>
    <w:p>
      <w:pPr>
        <w:spacing w:line="360" w:lineRule="auto"/>
        <w:ind w:firstLine="480" w:firstLineChars="20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资金</w:t>
      </w:r>
      <w:r>
        <w:rPr>
          <w:bCs/>
          <w:sz w:val="24"/>
        </w:rPr>
        <w:t>；</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shd w:val="pct10" w:color="auto" w:fill="FFFFFF"/>
        </w:rPr>
      </w:pPr>
      <w:r>
        <w:rPr>
          <w:bCs/>
          <w:sz w:val="24"/>
        </w:rPr>
        <w:t>（5）</w:t>
      </w:r>
      <w:r>
        <w:rPr>
          <w:rFonts w:hint="eastAsia"/>
          <w:bCs/>
          <w:sz w:val="24"/>
        </w:rPr>
        <w:t>按照规定</w:t>
      </w:r>
      <w:r>
        <w:rPr>
          <w:bCs/>
          <w:sz w:val="24"/>
        </w:rPr>
        <w:t>召集基金份额持有人大会；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 xml:space="preserve">（8）选择、更换基金销售机构，对基金销售机构的相关行为进行监督和处理； </w:t>
      </w:r>
    </w:p>
    <w:p>
      <w:pPr>
        <w:spacing w:line="440" w:lineRule="atLeast"/>
        <w:ind w:firstLine="480" w:firstLineChars="200"/>
        <w:rPr>
          <w:bCs/>
          <w:sz w:val="24"/>
        </w:rPr>
      </w:pPr>
      <w:r>
        <w:rPr>
          <w:bCs/>
          <w:sz w:val="24"/>
        </w:rPr>
        <w:t xml:space="preserve">（9）担任或委托其他符合条件的机构担任基金登记机构办理基金登记业务并获得《基金合同》规定的费用； </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和转换</w:t>
      </w:r>
      <w:r>
        <w:rPr>
          <w:bCs/>
          <w:sz w:val="24"/>
        </w:rPr>
        <w:t xml:space="preserve">申请； </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 xml:space="preserve">（13）在法律法规允许的前提下，为基金的利益依法为基金进行融资； </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w:t>
      </w:r>
      <w:r>
        <w:rPr>
          <w:rFonts w:hint="eastAsia"/>
          <w:bCs/>
          <w:sz w:val="24"/>
        </w:rPr>
        <w:t>、期货</w:t>
      </w:r>
      <w:r>
        <w:rPr>
          <w:bCs/>
          <w:sz w:val="24"/>
        </w:rPr>
        <w:t>经纪商或其他为基金提供服务的外部机构；</w:t>
      </w:r>
      <w:r>
        <w:rPr>
          <w:bCs/>
          <w:sz w:val="24"/>
        </w:rPr>
        <w:tab/>
      </w:r>
    </w:p>
    <w:p>
      <w:pPr>
        <w:spacing w:line="440" w:lineRule="atLeast"/>
        <w:ind w:firstLine="480" w:firstLineChars="200"/>
        <w:rPr>
          <w:bCs/>
          <w:sz w:val="24"/>
        </w:rPr>
      </w:pPr>
      <w:r>
        <w:rPr>
          <w:bCs/>
          <w:sz w:val="24"/>
        </w:rPr>
        <w:t>（16）在符合有关法律、法规的前提下，制订和调整有关基金认购、申购、赎回、转换</w:t>
      </w:r>
      <w:r>
        <w:rPr>
          <w:rFonts w:hint="eastAsia"/>
          <w:bCs/>
          <w:sz w:val="24"/>
        </w:rPr>
        <w:t>、定期定额投资、转托管</w:t>
      </w:r>
      <w:r>
        <w:rPr>
          <w:bCs/>
          <w:sz w:val="24"/>
        </w:rPr>
        <w:t>和非交易过户</w:t>
      </w:r>
      <w:r>
        <w:rPr>
          <w:rFonts w:hint="eastAsia"/>
          <w:bCs/>
          <w:sz w:val="24"/>
        </w:rPr>
        <w:t>等</w:t>
      </w:r>
      <w:r>
        <w:rPr>
          <w:bCs/>
          <w:sz w:val="24"/>
        </w:rPr>
        <w:t>的业务规则；</w:t>
      </w:r>
    </w:p>
    <w:p>
      <w:pPr>
        <w:spacing w:line="440" w:lineRule="atLeast"/>
        <w:ind w:firstLine="480" w:firstLineChars="200"/>
        <w:rPr>
          <w:bCs/>
          <w:sz w:val="24"/>
        </w:rPr>
      </w:pPr>
      <w:r>
        <w:rPr>
          <w:bCs/>
          <w:sz w:val="24"/>
        </w:rPr>
        <w:t>（17）法律法规及中国证监会规定的和《基金合同》约定的其他权利。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r>
        <w:rPr>
          <w:bCs/>
          <w:sz w:val="24"/>
        </w:rPr>
        <w:t>（1）依法募集</w:t>
      </w:r>
      <w:r>
        <w:rPr>
          <w:rFonts w:hint="eastAsia"/>
          <w:bCs/>
          <w:sz w:val="24"/>
        </w:rPr>
        <w:t>资金</w:t>
      </w:r>
      <w:r>
        <w:rPr>
          <w:bCs/>
          <w:sz w:val="24"/>
        </w:rPr>
        <w:t>，办理或者委托经中国证监会认定的其他机构代为办理基金份额的发售、申购、赎回和登记事宜；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p>
    <w:p>
      <w:pPr>
        <w:spacing w:line="360" w:lineRule="auto"/>
        <w:ind w:firstLine="480" w:firstLineChars="200"/>
        <w:rPr>
          <w:bCs/>
          <w:sz w:val="24"/>
        </w:rPr>
      </w:pPr>
      <w:r>
        <w:rPr>
          <w:bCs/>
          <w:sz w:val="24"/>
        </w:rPr>
        <w:t>（7）</w:t>
      </w:r>
      <w:r>
        <w:rPr>
          <w:bCs/>
          <w:sz w:val="24"/>
        </w:rPr>
        <w:tab/>
      </w:r>
      <w:r>
        <w:rPr>
          <w:bCs/>
          <w:sz w:val="24"/>
        </w:rPr>
        <w:t>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（10）编制季度报告、中期报告和年度报告；</w:t>
      </w:r>
    </w:p>
    <w:p>
      <w:pPr>
        <w:spacing w:line="360" w:lineRule="auto"/>
        <w:ind w:firstLine="480" w:firstLineChars="200"/>
        <w:rPr>
          <w:bCs/>
          <w:sz w:val="24"/>
        </w:rPr>
      </w:pPr>
      <w:r>
        <w:rPr>
          <w:bCs/>
          <w:sz w:val="24"/>
        </w:rPr>
        <w:t>（11）</w:t>
      </w:r>
      <w:r>
        <w:rPr>
          <w:bCs/>
          <w:sz w:val="24"/>
        </w:rPr>
        <w:tab/>
      </w:r>
      <w:r>
        <w:rPr>
          <w:bCs/>
          <w:sz w:val="24"/>
        </w:rPr>
        <w:t>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（24）基金管理人在募集期间未能达到基金的备案条件，《基金合同》不能生效，基金管理人承担全部募集费用，将已募集资金并加计银行同期活期存款利息在基金募集期结束后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r>
        <w:rPr>
          <w:bCs/>
          <w:sz w:val="24"/>
        </w:rPr>
        <w:t>（二）</w:t>
      </w:r>
      <w:r>
        <w:rPr>
          <w:bCs/>
          <w:sz w:val="24"/>
        </w:rPr>
        <w:tab/>
      </w:r>
      <w:r>
        <w:rPr>
          <w:bCs/>
          <w:sz w:val="24"/>
        </w:rPr>
        <w:t>基金托管人的权利与义务</w:t>
      </w:r>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和</w:t>
      </w:r>
      <w:r>
        <w:rPr>
          <w:bCs/>
          <w:sz w:val="24"/>
        </w:rPr>
        <w:t>证券账户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（8）复核、审查基金管理人计算的基金资产净值、基金份额净值</w:t>
      </w:r>
      <w:r>
        <w:rPr>
          <w:rFonts w:hint="eastAsia"/>
          <w:bCs/>
          <w:sz w:val="24"/>
        </w:rPr>
        <w:t>、</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w:t>
      </w:r>
      <w:r>
        <w:rPr>
          <w:bCs/>
          <w:sz w:val="24"/>
        </w:rPr>
        <w:t>中期报告和年度报告出具意见，说明基金管理人在各重要方面的运作是否严格按照《基金合同》的规定进行；如果基金管理人有未执行《基金合同》规定的行为，还应当说明基金托管人是否采取了适当的措施；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rPr>
        <w:t>15</w:t>
      </w:r>
      <w:r>
        <w:rPr>
          <w:bCs/>
          <w:sz w:val="24"/>
        </w:rPr>
        <w:t>年以上；</w:t>
      </w:r>
    </w:p>
    <w:p>
      <w:pPr>
        <w:spacing w:line="360" w:lineRule="auto"/>
        <w:ind w:firstLine="480" w:firstLineChars="200"/>
        <w:rPr>
          <w:bCs/>
          <w:sz w:val="24"/>
        </w:rPr>
      </w:pPr>
      <w:r>
        <w:rPr>
          <w:bCs/>
          <w:sz w:val="24"/>
        </w:rPr>
        <w:t>（12）建立并保存基金份额持有人名册；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（15）依据《基金法》、《基金合同》及其他有关规定，召集基金份额持有人大会或配合基金管理人</w:t>
      </w:r>
      <w:r>
        <w:rPr>
          <w:rFonts w:hint="eastAsia"/>
          <w:bCs/>
          <w:sz w:val="24"/>
        </w:rPr>
        <w:t>、</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spacing w:line="360" w:lineRule="auto"/>
        <w:ind w:firstLine="424" w:firstLineChars="177"/>
        <w:rPr>
          <w:bCs/>
          <w:sz w:val="24"/>
        </w:rPr>
      </w:pPr>
      <w:r>
        <w:rPr>
          <w:bCs/>
          <w:sz w:val="24"/>
        </w:rPr>
        <w:t>（22）法律法规及中国证监会规定的和《基金合同》约定的其他义务。</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bCs/>
          <w:sz w:val="24"/>
        </w:rPr>
        <w:t>同一类别的每份基金份额具有同等的合法权益。</w:t>
      </w:r>
      <w:r>
        <w:rPr>
          <w:rFonts w:hint="eastAsia"/>
          <w:bCs/>
          <w:sz w:val="24"/>
        </w:rPr>
        <w:t>本基金A类基金份额与C类基金份额由于基金份额净值的不同，基金收益分配的金额以及参与清算后的剩余基金财产分配的数量将可能有所不同。</w:t>
      </w:r>
    </w:p>
    <w:p>
      <w:pPr>
        <w:spacing w:line="360" w:lineRule="auto"/>
        <w:ind w:firstLine="480" w:firstLineChars="200"/>
        <w:rPr>
          <w:bCs/>
          <w:sz w:val="24"/>
        </w:rPr>
      </w:pPr>
      <w:r>
        <w:rPr>
          <w:bCs/>
          <w:sz w:val="24"/>
        </w:rPr>
        <w:t>（</w:t>
      </w:r>
      <w:r>
        <w:rPr>
          <w:rFonts w:hint="eastAsia"/>
          <w:bCs/>
          <w:sz w:val="24"/>
        </w:rPr>
        <w:t>三</w:t>
      </w:r>
      <w:r>
        <w:rPr>
          <w:bCs/>
          <w:sz w:val="24"/>
        </w:rPr>
        <w:t>）</w:t>
      </w:r>
      <w:r>
        <w:rPr>
          <w:bCs/>
          <w:sz w:val="24"/>
        </w:rPr>
        <w:tab/>
      </w:r>
      <w:r>
        <w:rPr>
          <w:bCs/>
          <w:sz w:val="24"/>
        </w:rPr>
        <w:t>基金</w:t>
      </w:r>
      <w:r>
        <w:rPr>
          <w:rFonts w:hint="eastAsia"/>
          <w:bCs/>
          <w:sz w:val="24"/>
        </w:rPr>
        <w:t>份额持有</w:t>
      </w:r>
      <w:r>
        <w:rPr>
          <w:bCs/>
          <w:sz w:val="24"/>
        </w:rPr>
        <w:t>人的权利与义务</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p>
    <w:p>
      <w:pPr>
        <w:spacing w:line="360" w:lineRule="auto"/>
        <w:ind w:firstLine="480" w:firstLineChars="200"/>
        <w:rPr>
          <w:bCs/>
          <w:sz w:val="24"/>
        </w:rPr>
      </w:pPr>
      <w:r>
        <w:rPr>
          <w:bCs/>
          <w:sz w:val="24"/>
        </w:rPr>
        <w:t>（3）依法转让或者申请赎回其持有的基金份额；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w:t>
      </w:r>
      <w:r>
        <w:rPr>
          <w:bCs/>
          <w:sz w:val="24"/>
        </w:rPr>
        <w:t>纳基金认购、申购款项及法律法规和《基金合同》所规定的费用；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bCs/>
          <w:sz w:val="24"/>
        </w:rPr>
        <w:t>（9）法律法规及中国证监会规定的和《基金合同》约定的其他义务。</w:t>
      </w:r>
    </w:p>
    <w:p>
      <w:pPr>
        <w:spacing w:line="360" w:lineRule="auto"/>
        <w:ind w:firstLine="480" w:firstLineChars="200"/>
        <w:rPr>
          <w:bCs/>
          <w:sz w:val="24"/>
        </w:rPr>
      </w:pPr>
      <w:r>
        <w:rPr>
          <w:rFonts w:hint="eastAsia"/>
          <w:bCs/>
          <w:sz w:val="24"/>
          <w:szCs w:val="24"/>
        </w:rPr>
        <w:t>二、基金份额持有人大会召集、议事及表决的程序和规则；</w:t>
      </w: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本基金份额持有人大会暂未设立日常机构。在本基金存续期内，根据本基金的运作需要，基金份额持有人大会可以增设日常机构，日常机构的设立与运作应当根据相关法律法规和中国证监会的规定进行。</w:t>
      </w:r>
    </w:p>
    <w:p>
      <w:pPr>
        <w:spacing w:line="360" w:lineRule="auto"/>
        <w:ind w:firstLine="480" w:firstLineChars="200"/>
        <w:rPr>
          <w:bCs/>
          <w:sz w:val="24"/>
        </w:rPr>
      </w:pPr>
      <w:r>
        <w:rPr>
          <w:rFonts w:hint="eastAsia"/>
          <w:bCs/>
          <w:sz w:val="24"/>
        </w:rPr>
        <w:t>（</w:t>
      </w:r>
      <w:r>
        <w:rPr>
          <w:bCs/>
          <w:sz w:val="24"/>
        </w:rPr>
        <w:t>一</w:t>
      </w:r>
      <w:r>
        <w:rPr>
          <w:rFonts w:hint="eastAsia"/>
          <w:bCs/>
          <w:sz w:val="24"/>
        </w:rPr>
        <w:t>）</w:t>
      </w:r>
      <w:r>
        <w:rPr>
          <w:bCs/>
          <w:sz w:val="24"/>
        </w:rPr>
        <w:t>召开事由</w:t>
      </w:r>
    </w:p>
    <w:p>
      <w:pPr>
        <w:spacing w:line="360" w:lineRule="auto"/>
        <w:ind w:firstLine="480" w:firstLineChars="200"/>
        <w:rPr>
          <w:bCs/>
          <w:sz w:val="24"/>
        </w:rPr>
      </w:pPr>
      <w:r>
        <w:rPr>
          <w:bCs/>
          <w:sz w:val="24"/>
        </w:rPr>
        <w:t>1、当出现或需要决定下列事由之一的，应当召开基金份额持有人大会：</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（1）调低</w:t>
      </w:r>
      <w:r>
        <w:rPr>
          <w:rFonts w:hint="eastAsia"/>
          <w:bCs/>
          <w:sz w:val="24"/>
        </w:rPr>
        <w:t>其他应由基金承担的费用</w:t>
      </w:r>
      <w:r>
        <w:rPr>
          <w:bCs/>
          <w:sz w:val="24"/>
        </w:rPr>
        <w:t>；</w:t>
      </w:r>
    </w:p>
    <w:p>
      <w:pPr>
        <w:spacing w:line="360" w:lineRule="auto"/>
        <w:ind w:firstLine="480" w:firstLineChars="200"/>
        <w:rPr>
          <w:bCs/>
          <w:sz w:val="24"/>
        </w:rPr>
      </w:pPr>
      <w:r>
        <w:rPr>
          <w:bCs/>
          <w:sz w:val="24"/>
        </w:rPr>
        <w:t>（2）法律法规要求增加的基金费用的收取；</w:t>
      </w:r>
    </w:p>
    <w:p>
      <w:pPr>
        <w:spacing w:line="360" w:lineRule="auto"/>
        <w:ind w:firstLine="480" w:firstLineChars="200"/>
        <w:rPr>
          <w:bCs/>
          <w:sz w:val="24"/>
        </w:rPr>
      </w:pPr>
      <w:r>
        <w:rPr>
          <w:bCs/>
          <w:sz w:val="24"/>
        </w:rPr>
        <w:t>（3）调整本基金的申购费率、调低赎回费率</w:t>
      </w:r>
      <w:r>
        <w:rPr>
          <w:rFonts w:hint="eastAsia"/>
          <w:bCs/>
          <w:sz w:val="24"/>
        </w:rPr>
        <w:t>、销售服务费率、调整收费方式或增加新的基金份额类别、对基金份额分类办法及规则进行调整</w:t>
      </w:r>
      <w:r>
        <w:rPr>
          <w:bCs/>
          <w:sz w:val="24"/>
        </w:rPr>
        <w:t>；</w:t>
      </w:r>
    </w:p>
    <w:p>
      <w:pPr>
        <w:spacing w:line="360" w:lineRule="auto"/>
        <w:ind w:firstLine="480" w:firstLineChars="200"/>
        <w:rPr>
          <w:bCs/>
          <w:sz w:val="24"/>
        </w:rPr>
      </w:pPr>
      <w:r>
        <w:rPr>
          <w:bCs/>
          <w:sz w:val="24"/>
        </w:rPr>
        <w:t>（4）因相应的法律法规发生变动而应当对《基金合同》进行修改；</w:t>
      </w:r>
    </w:p>
    <w:p>
      <w:pPr>
        <w:spacing w:line="360" w:lineRule="auto"/>
        <w:ind w:firstLine="480" w:firstLineChars="200"/>
        <w:rPr>
          <w:bCs/>
          <w:sz w:val="24"/>
        </w:rPr>
      </w:pPr>
      <w:r>
        <w:rPr>
          <w:bCs/>
          <w:sz w:val="24"/>
        </w:rPr>
        <w:t>（5）对《基金合同》的修改对基金份额持有人利益无实质性不利影响或修改不涉及《基金合同》当事人权利义务关系发生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bCs/>
          <w:sz w:val="24"/>
        </w:rPr>
        <w:t>（6）</w:t>
      </w:r>
      <w:r>
        <w:rPr>
          <w:rFonts w:hint="eastAsia"/>
          <w:bCs/>
          <w:sz w:val="24"/>
        </w:rPr>
        <w:t>基金管理人、登记机构、基金销售机构调整有关认购、申购、赎回、转换、非交易过户、转托管等业务规则；</w:t>
      </w:r>
    </w:p>
    <w:p>
      <w:pPr>
        <w:spacing w:line="360" w:lineRule="auto"/>
        <w:ind w:firstLine="480" w:firstLineChars="200"/>
        <w:rPr>
          <w:bCs/>
          <w:sz w:val="24"/>
        </w:rPr>
      </w:pPr>
      <w:r>
        <w:rPr>
          <w:rFonts w:hint="eastAsia"/>
          <w:bCs/>
          <w:sz w:val="24"/>
        </w:rPr>
        <w:t>（7）基金推出新业务或服务；</w:t>
      </w:r>
    </w:p>
    <w:p>
      <w:pPr>
        <w:spacing w:line="360" w:lineRule="auto"/>
        <w:ind w:firstLine="480" w:firstLineChars="200"/>
        <w:rPr>
          <w:bCs/>
          <w:sz w:val="24"/>
        </w:rPr>
      </w:pPr>
      <w:r>
        <w:rPr>
          <w:bCs/>
          <w:sz w:val="24"/>
        </w:rPr>
        <w:t>（</w:t>
      </w:r>
      <w:r>
        <w:rPr>
          <w:rFonts w:hint="eastAsia"/>
          <w:bCs/>
          <w:sz w:val="24"/>
        </w:rPr>
        <w:t>8</w:t>
      </w:r>
      <w:r>
        <w:rPr>
          <w:bCs/>
          <w:sz w:val="24"/>
        </w:rPr>
        <w:t>）按照法律法规和《基金合同》规定不需召开基金份额持有人大会的其他情形。</w:t>
      </w:r>
    </w:p>
    <w:p>
      <w:pPr>
        <w:spacing w:line="360" w:lineRule="auto"/>
        <w:ind w:firstLine="480" w:firstLineChars="200"/>
        <w:rPr>
          <w:bCs/>
          <w:sz w:val="24"/>
        </w:rPr>
      </w:pPr>
      <w:r>
        <w:rPr>
          <w:rFonts w:hint="eastAsia"/>
          <w:bCs/>
          <w:sz w:val="24"/>
        </w:rPr>
        <w:t>（</w:t>
      </w:r>
      <w:r>
        <w:rPr>
          <w:bCs/>
          <w:sz w:val="24"/>
        </w:rPr>
        <w:t>二</w:t>
      </w:r>
      <w:r>
        <w:rPr>
          <w:rFonts w:hint="eastAsia"/>
          <w:bCs/>
          <w:sz w:val="24"/>
        </w:rPr>
        <w:t>）</w:t>
      </w:r>
      <w:r>
        <w:rPr>
          <w:bCs/>
          <w:sz w:val="24"/>
        </w:rPr>
        <w:t>会议召集人及召集方式</w:t>
      </w:r>
    </w:p>
    <w:p>
      <w:pPr>
        <w:spacing w:line="360" w:lineRule="auto"/>
        <w:ind w:firstLine="480" w:firstLineChars="200"/>
        <w:rPr>
          <w:bCs/>
          <w:sz w:val="24"/>
        </w:rPr>
      </w:pPr>
      <w:r>
        <w:rPr>
          <w:bCs/>
          <w:sz w:val="24"/>
        </w:rPr>
        <w:t>1、除法律法规规定或《基金合同》另有约定外，基金份额持有人大会由基金管理人召集</w:t>
      </w:r>
      <w:r>
        <w:rPr>
          <w:rFonts w:hint="eastAsia"/>
          <w:bCs/>
          <w:sz w:val="24"/>
        </w:rPr>
        <w:t>。</w:t>
      </w:r>
    </w:p>
    <w:p>
      <w:pPr>
        <w:spacing w:line="360" w:lineRule="auto"/>
        <w:ind w:firstLine="480" w:firstLineChars="200"/>
        <w:rPr>
          <w:bCs/>
          <w:sz w:val="24"/>
        </w:rPr>
      </w:pPr>
      <w:r>
        <w:rPr>
          <w:rFonts w:hint="eastAsia"/>
          <w:bCs/>
          <w:sz w:val="24"/>
        </w:rPr>
        <w:t>2</w:t>
      </w:r>
      <w:r>
        <w:rPr>
          <w:bCs/>
          <w:sz w:val="24"/>
        </w:rPr>
        <w:t>、基金管理人未按规定召集或不能</w:t>
      </w:r>
      <w:r>
        <w:rPr>
          <w:rFonts w:hint="eastAsia"/>
          <w:bCs/>
          <w:sz w:val="24"/>
        </w:rPr>
        <w:t>召开</w:t>
      </w:r>
      <w:r>
        <w:rPr>
          <w:bCs/>
          <w:sz w:val="24"/>
        </w:rPr>
        <w:t>时，由基金托管人召集</w:t>
      </w:r>
      <w:r>
        <w:rPr>
          <w:rFonts w:hint="eastAsia"/>
          <w:bCs/>
          <w:sz w:val="24"/>
        </w:rPr>
        <w:t>。</w:t>
      </w:r>
    </w:p>
    <w:p>
      <w:pPr>
        <w:spacing w:line="360" w:lineRule="auto"/>
        <w:ind w:firstLine="480" w:firstLineChars="200"/>
        <w:rPr>
          <w:bCs/>
          <w:sz w:val="24"/>
        </w:rPr>
      </w:pPr>
      <w:r>
        <w:rPr>
          <w:rFonts w:hint="eastAsia"/>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rFonts w:hint="eastAsia"/>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rFonts w:hint="eastAsia"/>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rFonts w:hint="eastAsia"/>
          <w:bCs/>
          <w:sz w:val="24"/>
        </w:rPr>
        <w:t>6</w:t>
      </w:r>
      <w:r>
        <w:rPr>
          <w:bCs/>
          <w:sz w:val="24"/>
        </w:rPr>
        <w:t>、基金份额持有人会议的召集人负责选择确定开会时间、地点、方式和权益登记日。</w:t>
      </w:r>
    </w:p>
    <w:p>
      <w:pPr>
        <w:spacing w:line="360" w:lineRule="auto"/>
        <w:ind w:firstLine="480" w:firstLineChars="20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r>
        <w:rPr>
          <w:rFonts w:hint="eastAsia"/>
          <w:bCs/>
          <w:sz w:val="24"/>
        </w:rPr>
        <w:t>（</w:t>
      </w:r>
      <w:r>
        <w:rPr>
          <w:bCs/>
          <w:sz w:val="24"/>
        </w:rPr>
        <w:t>四</w:t>
      </w:r>
      <w:r>
        <w:rPr>
          <w:rFonts w:hint="eastAsia"/>
          <w:bCs/>
          <w:sz w:val="24"/>
        </w:rPr>
        <w:t>）</w:t>
      </w:r>
      <w:r>
        <w:rPr>
          <w:bCs/>
          <w:sz w:val="24"/>
        </w:rPr>
        <w:t>基金份额持有人出席会议的方式</w:t>
      </w:r>
    </w:p>
    <w:p>
      <w:pPr>
        <w:spacing w:line="360" w:lineRule="auto"/>
        <w:ind w:firstLine="480" w:firstLineChars="200"/>
        <w:rPr>
          <w:bCs/>
          <w:sz w:val="24"/>
        </w:rPr>
      </w:pPr>
      <w:r>
        <w:rPr>
          <w:bCs/>
          <w:sz w:val="24"/>
        </w:rPr>
        <w:t>基金份额持有人大会可通过现场开会方式或通讯开会方式</w:t>
      </w:r>
      <w:r>
        <w:rPr>
          <w:rFonts w:hint="eastAsia"/>
          <w:bCs/>
          <w:sz w:val="24"/>
        </w:rPr>
        <w:t>及法律法规、中国证监会允许的其他方式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或大会公告载明的其他方式</w:t>
      </w:r>
      <w:r>
        <w:rPr>
          <w:bCs/>
          <w:sz w:val="24"/>
        </w:rPr>
        <w:t>在表决截</w:t>
      </w:r>
      <w:r>
        <w:rPr>
          <w:rFonts w:hint="eastAsia"/>
          <w:bCs/>
          <w:sz w:val="24"/>
        </w:rPr>
        <w:t>止</w:t>
      </w:r>
      <w:r>
        <w:rPr>
          <w:bCs/>
          <w:sz w:val="24"/>
        </w:rPr>
        <w:t>日以前送达至召集人指定的地址。通讯开会应以书面方式</w:t>
      </w:r>
      <w:r>
        <w:rPr>
          <w:rFonts w:hint="eastAsia"/>
          <w:bCs/>
          <w:sz w:val="24"/>
        </w:rPr>
        <w:t>或大会公告载明的其他方式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r>
        <w:rPr>
          <w:rFonts w:hint="eastAsia"/>
          <w:bCs/>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pPr>
        <w:spacing w:line="360" w:lineRule="auto"/>
        <w:ind w:firstLine="480" w:firstLineChars="200"/>
        <w:rPr>
          <w:bCs/>
          <w:sz w:val="24"/>
        </w:rPr>
      </w:pPr>
      <w:r>
        <w:rPr>
          <w:rFonts w:hint="eastAsia"/>
          <w:bCs/>
          <w:sz w:val="24"/>
        </w:rPr>
        <w:t>4、基金份额持有人授权他人代为出席会议并表决的，授权方式可以采用书面、网络、电话、短信或其他方式，具体方式在会议通知中列明。</w:t>
      </w:r>
    </w:p>
    <w:p>
      <w:pPr>
        <w:spacing w:line="360" w:lineRule="auto"/>
        <w:ind w:firstLine="480" w:firstLineChars="200"/>
        <w:rPr>
          <w:bCs/>
          <w:sz w:val="24"/>
        </w:rPr>
      </w:pPr>
      <w:r>
        <w:rPr>
          <w:rFonts w:hint="eastAsia"/>
          <w:bCs/>
          <w:sz w:val="24"/>
        </w:rPr>
        <w:t>（</w:t>
      </w:r>
      <w:r>
        <w:rPr>
          <w:bCs/>
          <w:sz w:val="24"/>
        </w:rPr>
        <w:t>五</w:t>
      </w:r>
      <w:r>
        <w:rPr>
          <w:rFonts w:hint="eastAsia"/>
          <w:bCs/>
          <w:sz w:val="24"/>
        </w:rPr>
        <w:t>）</w:t>
      </w:r>
      <w:r>
        <w:rPr>
          <w:bCs/>
          <w:sz w:val="24"/>
        </w:rPr>
        <w:t>议事内容与程序</w:t>
      </w:r>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w:t>
      </w:r>
      <w:r>
        <w:rPr>
          <w:rFonts w:hint="eastAsia"/>
          <w:bCs/>
          <w:sz w:val="24"/>
        </w:rPr>
        <w:t>（七）</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0%以上（含</w:t>
      </w:r>
      <w:r>
        <w:rPr>
          <w:rFonts w:hint="eastAsia"/>
          <w:bCs/>
          <w:sz w:val="24"/>
        </w:rPr>
        <w:t>5</w:t>
      </w:r>
      <w:r>
        <w:rPr>
          <w:bCs/>
          <w:sz w:val="24"/>
        </w:rPr>
        <w:t>0%）选举产生一名基金份额持有人作为该次基金份额持有人大会的主持人。基金管理人和基金托管人拒不出席或主持基金份额持有人大会，不影响基金份额持有人大会作出的决议的效力。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r>
        <w:rPr>
          <w:rFonts w:hint="eastAsia"/>
          <w:bCs/>
          <w:sz w:val="24"/>
        </w:rPr>
        <w:t>（</w:t>
      </w:r>
      <w:r>
        <w:rPr>
          <w:bCs/>
          <w:sz w:val="24"/>
        </w:rPr>
        <w:t>六</w:t>
      </w:r>
      <w:r>
        <w:rPr>
          <w:rFonts w:hint="eastAsia"/>
          <w:bCs/>
          <w:sz w:val="24"/>
        </w:rPr>
        <w:t>）</w:t>
      </w:r>
      <w:r>
        <w:rPr>
          <w:bCs/>
          <w:sz w:val="24"/>
        </w:rPr>
        <w:t>表决</w:t>
      </w:r>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w:t>
      </w:r>
      <w:r>
        <w:rPr>
          <w:bCs/>
          <w:sz w:val="24"/>
        </w:rPr>
        <w:t>基金与其他基金合并以特别决议通过方为有效。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r>
        <w:rPr>
          <w:rFonts w:hint="eastAsia"/>
          <w:bCs/>
          <w:sz w:val="24"/>
        </w:rPr>
        <w:t>（</w:t>
      </w:r>
      <w:r>
        <w:rPr>
          <w:bCs/>
          <w:sz w:val="24"/>
        </w:rPr>
        <w:t>七</w:t>
      </w:r>
      <w:r>
        <w:rPr>
          <w:rFonts w:hint="eastAsia"/>
          <w:bCs/>
          <w:sz w:val="24"/>
        </w:rPr>
        <w:t>）</w:t>
      </w:r>
      <w:r>
        <w:rPr>
          <w:bCs/>
          <w:sz w:val="24"/>
        </w:rPr>
        <w:t>计票</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w:t>
      </w:r>
      <w:r>
        <w:rPr>
          <w:rFonts w:hint="eastAsia"/>
          <w:bCs/>
          <w:sz w:val="24"/>
        </w:rPr>
        <w:t>怀疑</w:t>
      </w:r>
      <w:r>
        <w:rPr>
          <w:bCs/>
          <w:sz w:val="24"/>
        </w:rPr>
        <w:t>，可以在宣布表决结果后立即对所投票数要求进行重新清点。监票人应当进行重新清点，重新清点以一次为限。重新清点后，大会主持人应当当场公布重新清点结果。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rPr>
          <w:bCs/>
          <w:sz w:val="24"/>
        </w:rPr>
      </w:pPr>
      <w:r>
        <w:rPr>
          <w:rFonts w:hint="eastAsia"/>
          <w:bCs/>
          <w:sz w:val="24"/>
        </w:rPr>
        <w:t>（</w:t>
      </w:r>
      <w:r>
        <w:rPr>
          <w:bCs/>
          <w:sz w:val="24"/>
        </w:rPr>
        <w:t>八</w:t>
      </w:r>
      <w:r>
        <w:rPr>
          <w:rFonts w:hint="eastAsia"/>
          <w:bCs/>
          <w:sz w:val="24"/>
        </w:rPr>
        <w:t>）</w:t>
      </w:r>
      <w:r>
        <w:rPr>
          <w:bCs/>
          <w:sz w:val="24"/>
        </w:rPr>
        <w:t>生效与公告</w:t>
      </w:r>
    </w:p>
    <w:p>
      <w:pPr>
        <w:spacing w:line="360" w:lineRule="auto"/>
        <w:ind w:firstLine="480" w:firstLineChars="200"/>
        <w:rPr>
          <w:sz w:val="24"/>
          <w:shd w:val="pct10" w:color="auto" w:fill="FFFFFF"/>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r>
        <w:rPr>
          <w:rFonts w:hint="eastAsia"/>
          <w:bCs/>
          <w:sz w:val="24"/>
        </w:rPr>
        <w:t xml:space="preserve">（九）实施侧袋机制期间基金份额持有人大会的特殊约定 </w:t>
      </w:r>
    </w:p>
    <w:p>
      <w:pPr>
        <w:spacing w:line="360" w:lineRule="auto"/>
        <w:ind w:firstLine="480" w:firstLineChars="200"/>
        <w:rPr>
          <w:bCs/>
          <w:sz w:val="24"/>
        </w:rPr>
      </w:pPr>
      <w:r>
        <w:rPr>
          <w:rFonts w:hint="eastAsia"/>
          <w:bCs/>
          <w:sz w:val="24"/>
        </w:rPr>
        <w:t xml:space="preserve">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 </w:t>
      </w:r>
    </w:p>
    <w:p>
      <w:pPr>
        <w:spacing w:line="360" w:lineRule="auto"/>
        <w:ind w:firstLine="480" w:firstLineChars="200"/>
        <w:rPr>
          <w:bCs/>
          <w:sz w:val="24"/>
        </w:rPr>
      </w:pPr>
      <w:r>
        <w:rPr>
          <w:rFonts w:hint="eastAsia"/>
          <w:bCs/>
          <w:sz w:val="24"/>
        </w:rPr>
        <w:t xml:space="preserve">1、基金份额持有人行使提议权、召集权、提名权所需单独或合计代表相关基金份额10%以上（含10%）； </w:t>
      </w:r>
    </w:p>
    <w:p>
      <w:pPr>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bCs/>
          <w:sz w:val="24"/>
        </w:rPr>
      </w:pPr>
      <w:r>
        <w:rPr>
          <w:rFonts w:hint="eastAsia"/>
          <w:bCs/>
          <w:sz w:val="24"/>
        </w:rPr>
        <w:t xml:space="preserve">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 </w:t>
      </w:r>
    </w:p>
    <w:p>
      <w:pPr>
        <w:spacing w:line="360" w:lineRule="auto"/>
        <w:ind w:firstLine="480" w:firstLineChars="200"/>
        <w:rPr>
          <w:bCs/>
          <w:sz w:val="24"/>
        </w:rPr>
      </w:pPr>
      <w:r>
        <w:rPr>
          <w:rFonts w:hint="eastAsia"/>
          <w:bCs/>
          <w:sz w:val="24"/>
        </w:rPr>
        <w:t xml:space="preserve">5、现场开会由出席大会的基金份额持有人和代理人所持表决权的50%以上（含50%）选举产生一名基金份额持有人作为该次基金份额持有人大会的主持人； </w:t>
      </w:r>
    </w:p>
    <w:p>
      <w:pPr>
        <w:spacing w:line="360" w:lineRule="auto"/>
        <w:ind w:firstLine="480" w:firstLineChars="200"/>
        <w:rPr>
          <w:bCs/>
          <w:sz w:val="24"/>
        </w:rPr>
      </w:pPr>
      <w:r>
        <w:rPr>
          <w:rFonts w:hint="eastAsia"/>
          <w:bCs/>
          <w:sz w:val="24"/>
        </w:rPr>
        <w:t xml:space="preserve">6、一般决议须经参加大会的基金份额持有人或其代理人所持表决权的二分之一以上（含二分之一）通过； </w:t>
      </w:r>
    </w:p>
    <w:p>
      <w:pPr>
        <w:spacing w:line="360" w:lineRule="auto"/>
        <w:ind w:firstLine="480" w:firstLineChars="200"/>
        <w:rPr>
          <w:bCs/>
          <w:sz w:val="24"/>
        </w:rPr>
      </w:pPr>
      <w:r>
        <w:rPr>
          <w:rFonts w:hint="eastAsia"/>
          <w:bCs/>
          <w:sz w:val="24"/>
        </w:rPr>
        <w:t xml:space="preserve">7、特别决议应当经参加大会的基金份额持有人或其代理人所持表决权的三分之二以上（含三分之二）通过。 </w:t>
      </w:r>
    </w:p>
    <w:p>
      <w:pPr>
        <w:spacing w:line="360" w:lineRule="auto"/>
        <w:ind w:firstLine="480" w:firstLineChars="200"/>
        <w:rPr>
          <w:bCs/>
          <w:sz w:val="24"/>
        </w:rPr>
      </w:pPr>
      <w:r>
        <w:rPr>
          <w:rFonts w:hint="eastAsia"/>
          <w:bCs/>
          <w:sz w:val="24"/>
        </w:rPr>
        <w:t>同一主侧袋账户内的每份基金份额具有平等的表决权。</w:t>
      </w:r>
    </w:p>
    <w:p>
      <w:pPr>
        <w:spacing w:line="360" w:lineRule="auto"/>
        <w:ind w:firstLine="480" w:firstLineChars="200"/>
        <w:rPr>
          <w:bCs/>
          <w:sz w:val="24"/>
        </w:rPr>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pPr>
        <w:autoSpaceDE w:val="0"/>
        <w:autoSpaceDN w:val="0"/>
        <w:adjustRightInd w:val="0"/>
        <w:spacing w:line="360" w:lineRule="auto"/>
        <w:ind w:firstLine="480" w:firstLineChars="200"/>
        <w:jc w:val="left"/>
        <w:rPr>
          <w:bCs/>
          <w:sz w:val="24"/>
          <w:szCs w:val="24"/>
        </w:rPr>
      </w:pPr>
      <w:r>
        <w:rPr>
          <w:rFonts w:hint="eastAsia"/>
          <w:bCs/>
          <w:sz w:val="24"/>
          <w:szCs w:val="24"/>
        </w:rPr>
        <w:t xml:space="preserve">三、基金收益分配原则、执行方式； </w:t>
      </w:r>
    </w:p>
    <w:p>
      <w:pPr>
        <w:spacing w:line="360" w:lineRule="auto"/>
        <w:ind w:firstLine="540" w:firstLineChars="225"/>
        <w:rPr>
          <w:bCs/>
          <w:sz w:val="24"/>
        </w:rPr>
      </w:pPr>
      <w:r>
        <w:rPr>
          <w:rFonts w:hint="eastAsia"/>
          <w:bCs/>
          <w:sz w:val="24"/>
        </w:rPr>
        <w:t>（一）</w:t>
      </w:r>
      <w:r>
        <w:rPr>
          <w:bCs/>
          <w:sz w:val="24"/>
        </w:rPr>
        <w:t>基金收益分配原则</w:t>
      </w:r>
    </w:p>
    <w:p>
      <w:pPr>
        <w:spacing w:line="360" w:lineRule="auto"/>
        <w:ind w:firstLine="424" w:firstLineChars="177"/>
        <w:rPr>
          <w:bCs/>
          <w:sz w:val="24"/>
        </w:rPr>
      </w:pPr>
      <w:r>
        <w:rPr>
          <w:rFonts w:hint="eastAsia"/>
          <w:bCs/>
          <w:sz w:val="24"/>
        </w:rPr>
        <w:t>1</w:t>
      </w:r>
      <w:r>
        <w:rPr>
          <w:bCs/>
          <w:sz w:val="24"/>
        </w:rPr>
        <w:t>、在符合有关基金分红条件的前提下，基金管理人可以根据实际情况进行收益分配，具体分配方案以公告为准，若《基金合同》生效不满3个月可不进行收益分配；</w:t>
      </w:r>
    </w:p>
    <w:p>
      <w:pPr>
        <w:spacing w:line="360" w:lineRule="auto"/>
        <w:ind w:firstLine="424" w:firstLineChars="177"/>
        <w:rPr>
          <w:bCs/>
          <w:sz w:val="24"/>
        </w:rPr>
      </w:pPr>
      <w:r>
        <w:rPr>
          <w:bCs/>
          <w:sz w:val="24"/>
        </w:rPr>
        <w:t>2、本基金收益分配方式分两种：现金分红与红利再投资，投资者可选择现金红利或将现金红利自动转为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基金份额持有人可对其持有的A类、C类基金份额分别选择不同的收益分配方式；</w:t>
      </w:r>
    </w:p>
    <w:p>
      <w:pPr>
        <w:spacing w:line="360" w:lineRule="auto"/>
        <w:ind w:firstLine="424" w:firstLineChars="177"/>
        <w:rPr>
          <w:bCs/>
          <w:sz w:val="24"/>
        </w:rPr>
      </w:pPr>
      <w:r>
        <w:rPr>
          <w:rFonts w:hint="eastAsia"/>
          <w:bCs/>
          <w:sz w:val="24"/>
        </w:rPr>
        <w:t>同一投资人持有的同一类别的基金份额只能选择一种分红方式，如投资人在不同销售机构选择的分红方式不同，则基金登记机构将以投资人最后一次选择的分红方式为准；</w:t>
      </w:r>
    </w:p>
    <w:p>
      <w:pPr>
        <w:spacing w:line="360" w:lineRule="auto"/>
        <w:ind w:firstLine="424" w:firstLineChars="177"/>
        <w:rPr>
          <w:bCs/>
          <w:sz w:val="24"/>
        </w:rPr>
      </w:pPr>
      <w:r>
        <w:rPr>
          <w:rFonts w:hint="eastAsia"/>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pPr>
        <w:spacing w:line="360" w:lineRule="auto"/>
        <w:ind w:firstLine="424" w:firstLineChars="177"/>
        <w:rPr>
          <w:bCs/>
          <w:sz w:val="24"/>
        </w:rPr>
      </w:pPr>
      <w:r>
        <w:rPr>
          <w:rFonts w:hint="eastAsia"/>
          <w:bCs/>
          <w:sz w:val="24"/>
        </w:rPr>
        <w:t>4</w:t>
      </w:r>
      <w:r>
        <w:rPr>
          <w:bCs/>
          <w:sz w:val="24"/>
        </w:rPr>
        <w:t>、</w:t>
      </w:r>
      <w:r>
        <w:rPr>
          <w:rFonts w:hint="eastAsia"/>
          <w:bCs/>
          <w:sz w:val="24"/>
        </w:rPr>
        <w:t>同一类别</w:t>
      </w:r>
      <w:r>
        <w:rPr>
          <w:bCs/>
          <w:sz w:val="24"/>
        </w:rPr>
        <w:t>每一基金份额享有同等分配权；</w:t>
      </w:r>
      <w:r>
        <w:rPr>
          <w:rFonts w:hint="eastAsia"/>
          <w:bCs/>
          <w:sz w:val="24"/>
        </w:rPr>
        <w:t>由于本基金A类基金份额不收取销售服务费，而C类基金份额收取销售服务费，各基金份额类别对应的可分配收益将有所不同；</w:t>
      </w:r>
    </w:p>
    <w:p>
      <w:pPr>
        <w:spacing w:line="360" w:lineRule="auto"/>
        <w:ind w:firstLine="424" w:firstLineChars="177"/>
        <w:rPr>
          <w:bCs/>
          <w:sz w:val="24"/>
        </w:rPr>
      </w:pPr>
      <w:r>
        <w:rPr>
          <w:rFonts w:hint="eastAsia"/>
          <w:bCs/>
          <w:sz w:val="24"/>
        </w:rPr>
        <w:t>5</w:t>
      </w:r>
      <w:r>
        <w:rPr>
          <w:bCs/>
          <w:sz w:val="24"/>
        </w:rPr>
        <w:t>、法律法规或监管机关另有规定的，从其规定。</w:t>
      </w:r>
    </w:p>
    <w:p>
      <w:pPr>
        <w:spacing w:line="360" w:lineRule="auto"/>
        <w:ind w:firstLine="424" w:firstLineChars="177"/>
        <w:rPr>
          <w:bCs/>
          <w:sz w:val="24"/>
        </w:rPr>
      </w:pPr>
      <w:r>
        <w:rPr>
          <w:rFonts w:hint="eastAsia"/>
          <w:bCs/>
          <w:sz w:val="24"/>
        </w:rPr>
        <w:t>法律法规或监管机构另有规定的，基金管理人在履行适当程序后，将对上述基金收益分配政策进行调整。</w:t>
      </w:r>
    </w:p>
    <w:p>
      <w:pPr>
        <w:spacing w:line="360" w:lineRule="auto"/>
        <w:ind w:firstLine="540" w:firstLineChars="225"/>
        <w:rPr>
          <w:bCs/>
          <w:sz w:val="24"/>
        </w:rPr>
      </w:pPr>
      <w:r>
        <w:rPr>
          <w:rFonts w:hint="eastAsia"/>
          <w:bCs/>
          <w:sz w:val="24"/>
        </w:rPr>
        <w:t>（二）</w:t>
      </w:r>
      <w:r>
        <w:rPr>
          <w:bCs/>
          <w:sz w:val="24"/>
        </w:rPr>
        <w:t>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rFonts w:hint="eastAsia"/>
          <w:bCs/>
          <w:sz w:val="24"/>
        </w:rPr>
        <w:t>（三）</w:t>
      </w:r>
      <w:r>
        <w:rPr>
          <w:bCs/>
          <w:sz w:val="24"/>
        </w:rPr>
        <w:t>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依据相关规定</w:t>
      </w:r>
      <w:r>
        <w:rPr>
          <w:bCs/>
          <w:sz w:val="24"/>
        </w:rPr>
        <w:t>在规定媒介公告。</w:t>
      </w:r>
    </w:p>
    <w:p>
      <w:pPr>
        <w:spacing w:line="360" w:lineRule="auto"/>
        <w:ind w:firstLine="540" w:firstLineChars="225"/>
        <w:rPr>
          <w:bCs/>
          <w:sz w:val="24"/>
        </w:rPr>
      </w:pPr>
      <w:r>
        <w:rPr>
          <w:rFonts w:hint="eastAsia"/>
          <w:bCs/>
          <w:sz w:val="24"/>
        </w:rPr>
        <w:t>（四）</w:t>
      </w:r>
      <w:r>
        <w:rPr>
          <w:bCs/>
          <w:sz w:val="24"/>
        </w:rPr>
        <w:t>基金收益分配中发生的费用</w:t>
      </w:r>
    </w:p>
    <w:p>
      <w:pPr>
        <w:spacing w:line="360" w:lineRule="auto"/>
        <w:ind w:firstLine="540" w:firstLineChars="225"/>
        <w:rPr>
          <w:bCs/>
          <w:sz w:val="24"/>
        </w:rPr>
      </w:pPr>
      <w:r>
        <w:rPr>
          <w:bCs/>
          <w:sz w:val="24"/>
        </w:rPr>
        <w:t>基金收益分配时所发生的银行转账或其他手续费用由投资者自行承担。当投资者的现金红利小于一定金额，不</w:t>
      </w:r>
      <w:r>
        <w:rPr>
          <w:rFonts w:hint="eastAsia"/>
          <w:bCs/>
          <w:sz w:val="24"/>
        </w:rPr>
        <w:t>足以</w:t>
      </w:r>
      <w:r>
        <w:rPr>
          <w:bCs/>
          <w:sz w:val="24"/>
        </w:rPr>
        <w:t>支付银行转账或其他手续费用时，基金登记机构可将基金份额持有人的现金红利自动转为相应类别的基金份额。红利再投资的计算方法，依照《业务规则》执行。</w:t>
      </w:r>
    </w:p>
    <w:p>
      <w:pPr>
        <w:spacing w:line="360" w:lineRule="auto"/>
        <w:ind w:firstLine="540" w:firstLineChars="225"/>
        <w:rPr>
          <w:bCs/>
          <w:sz w:val="24"/>
        </w:rPr>
      </w:pPr>
      <w:r>
        <w:rPr>
          <w:rFonts w:hint="eastAsia"/>
          <w:bCs/>
          <w:sz w:val="24"/>
        </w:rPr>
        <w:t xml:space="preserve">（五）实施侧袋机制期间的收益分配 </w:t>
      </w:r>
    </w:p>
    <w:p>
      <w:pPr>
        <w:spacing w:line="360" w:lineRule="auto"/>
        <w:ind w:firstLine="540" w:firstLineChars="225"/>
        <w:rPr>
          <w:bCs/>
          <w:sz w:val="24"/>
        </w:rPr>
      </w:pPr>
      <w:r>
        <w:rPr>
          <w:rFonts w:hint="eastAsia"/>
          <w:bCs/>
          <w:sz w:val="24"/>
        </w:rPr>
        <w:t>本基金实施侧袋机制的，侧袋账户不进行收益分配，详见招募说明书的规定。</w:t>
      </w:r>
    </w:p>
    <w:p>
      <w:pPr>
        <w:autoSpaceDE w:val="0"/>
        <w:autoSpaceDN w:val="0"/>
        <w:adjustRightInd w:val="0"/>
        <w:spacing w:line="360" w:lineRule="auto"/>
        <w:ind w:firstLine="480" w:firstLineChars="200"/>
        <w:jc w:val="left"/>
        <w:rPr>
          <w:bCs/>
          <w:sz w:val="24"/>
          <w:szCs w:val="24"/>
        </w:rPr>
      </w:pPr>
      <w:r>
        <w:rPr>
          <w:rFonts w:hint="eastAsia"/>
          <w:bCs/>
          <w:sz w:val="24"/>
          <w:szCs w:val="24"/>
        </w:rPr>
        <w:t xml:space="preserve">四、与基金财产管理、运用有关费用的提取、支付方式与比例； </w:t>
      </w:r>
    </w:p>
    <w:p>
      <w:pPr>
        <w:spacing w:line="360" w:lineRule="auto"/>
        <w:ind w:firstLine="480" w:firstLineChars="200"/>
        <w:rPr>
          <w:bCs/>
          <w:sz w:val="24"/>
        </w:rPr>
      </w:pPr>
      <w:r>
        <w:rPr>
          <w:rFonts w:hint="eastAsia"/>
          <w:bCs/>
          <w:sz w:val="24"/>
        </w:rPr>
        <w:t>（一）</w:t>
      </w:r>
      <w:r>
        <w:rPr>
          <w:bCs/>
          <w:sz w:val="24"/>
        </w:rPr>
        <w:t>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w:t>
      </w:r>
      <w:r>
        <w:rPr>
          <w:rFonts w:hint="eastAsia"/>
          <w:bCs/>
          <w:sz w:val="24"/>
        </w:rPr>
        <w:t>从C类基金份额的基金财产中计提的销售服务费；</w:t>
      </w:r>
    </w:p>
    <w:p>
      <w:pPr>
        <w:spacing w:line="360" w:lineRule="auto"/>
        <w:ind w:firstLine="480" w:firstLineChars="200"/>
        <w:rPr>
          <w:bCs/>
          <w:sz w:val="24"/>
        </w:rPr>
      </w:pPr>
      <w:r>
        <w:rPr>
          <w:rFonts w:hint="eastAsia"/>
          <w:bCs/>
          <w:sz w:val="24"/>
        </w:rPr>
        <w:t>4、</w:t>
      </w:r>
      <w:r>
        <w:rPr>
          <w:bCs/>
          <w:sz w:val="24"/>
        </w:rPr>
        <w:t>《基金合同》生效后与基金相关的信息披露费用；</w:t>
      </w:r>
    </w:p>
    <w:p>
      <w:pPr>
        <w:spacing w:line="360" w:lineRule="auto"/>
        <w:ind w:firstLine="480" w:firstLineChars="20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pPr>
        <w:spacing w:line="360" w:lineRule="auto"/>
        <w:ind w:firstLine="480" w:firstLineChars="200"/>
        <w:rPr>
          <w:bCs/>
          <w:sz w:val="24"/>
        </w:rPr>
      </w:pPr>
      <w:r>
        <w:rPr>
          <w:rFonts w:hint="eastAsia"/>
          <w:bCs/>
          <w:sz w:val="24"/>
        </w:rPr>
        <w:t>6</w:t>
      </w:r>
      <w:r>
        <w:rPr>
          <w:bCs/>
          <w:sz w:val="24"/>
        </w:rPr>
        <w:t>、基金份额持有人大会费用；</w:t>
      </w:r>
    </w:p>
    <w:p>
      <w:pPr>
        <w:spacing w:line="360" w:lineRule="auto"/>
        <w:ind w:firstLine="480" w:firstLineChars="200"/>
        <w:rPr>
          <w:bCs/>
          <w:sz w:val="24"/>
        </w:rPr>
      </w:pPr>
      <w:r>
        <w:rPr>
          <w:rFonts w:hint="eastAsia"/>
          <w:bCs/>
          <w:sz w:val="24"/>
        </w:rPr>
        <w:t>7</w:t>
      </w:r>
      <w:r>
        <w:rPr>
          <w:bCs/>
          <w:sz w:val="24"/>
        </w:rPr>
        <w:t>、基金的证券</w:t>
      </w:r>
      <w:r>
        <w:rPr>
          <w:rFonts w:hint="eastAsia"/>
          <w:bCs/>
          <w:sz w:val="24"/>
        </w:rPr>
        <w:t>、期货</w:t>
      </w:r>
      <w:r>
        <w:rPr>
          <w:bCs/>
          <w:sz w:val="24"/>
        </w:rPr>
        <w:t>交易费用；</w:t>
      </w:r>
    </w:p>
    <w:p>
      <w:pPr>
        <w:spacing w:line="360" w:lineRule="auto"/>
        <w:ind w:firstLine="480" w:firstLineChars="200"/>
        <w:rPr>
          <w:bCs/>
          <w:sz w:val="24"/>
        </w:rPr>
      </w:pPr>
      <w:r>
        <w:rPr>
          <w:rFonts w:hint="eastAsia"/>
          <w:bCs/>
          <w:sz w:val="24"/>
        </w:rPr>
        <w:t>8</w:t>
      </w:r>
      <w:r>
        <w:rPr>
          <w:bCs/>
          <w:sz w:val="24"/>
        </w:rPr>
        <w:t>、基金的银行汇划费用；</w:t>
      </w:r>
    </w:p>
    <w:p>
      <w:pPr>
        <w:spacing w:line="360" w:lineRule="auto"/>
        <w:ind w:firstLine="480" w:firstLineChars="200"/>
        <w:rPr>
          <w:bCs/>
          <w:sz w:val="24"/>
        </w:rPr>
      </w:pPr>
      <w:r>
        <w:rPr>
          <w:rFonts w:hint="eastAsia"/>
          <w:bCs/>
          <w:sz w:val="24"/>
        </w:rPr>
        <w:t>9</w:t>
      </w:r>
      <w:r>
        <w:rPr>
          <w:bCs/>
          <w:sz w:val="24"/>
        </w:rPr>
        <w:t>、</w:t>
      </w:r>
      <w:r>
        <w:rPr>
          <w:rFonts w:hint="eastAsia"/>
          <w:bCs/>
          <w:sz w:val="24"/>
        </w:rPr>
        <w:t>基金的开户费用、账户维护费用；</w:t>
      </w:r>
    </w:p>
    <w:p>
      <w:pPr>
        <w:spacing w:line="360" w:lineRule="auto"/>
        <w:ind w:firstLine="480" w:firstLineChars="200"/>
        <w:rPr>
          <w:bCs/>
          <w:sz w:val="24"/>
        </w:rPr>
      </w:pPr>
      <w:r>
        <w:rPr>
          <w:rFonts w:hint="eastAsia"/>
          <w:bCs/>
          <w:sz w:val="24"/>
        </w:rPr>
        <w:t>10</w:t>
      </w:r>
      <w:r>
        <w:rPr>
          <w:bCs/>
          <w:sz w:val="24"/>
        </w:rPr>
        <w:t>、按照国家有关规定和《基金合同》约定，可以在基金财产中列支的其他费用。</w:t>
      </w:r>
    </w:p>
    <w:p>
      <w:pPr>
        <w:spacing w:line="360" w:lineRule="auto"/>
        <w:ind w:firstLine="480" w:firstLineChars="200"/>
        <w:rPr>
          <w:bCs/>
          <w:sz w:val="24"/>
        </w:rPr>
      </w:pPr>
      <w:r>
        <w:rPr>
          <w:rFonts w:hint="eastAsia"/>
          <w:bCs/>
          <w:sz w:val="24"/>
        </w:rPr>
        <w:t>（二）</w:t>
      </w:r>
      <w:r>
        <w:rPr>
          <w:bCs/>
          <w:sz w:val="24"/>
        </w:rPr>
        <w:t>基金费用计提方法、计提标准和支付方式</w:t>
      </w:r>
    </w:p>
    <w:p>
      <w:pPr>
        <w:spacing w:line="360" w:lineRule="auto"/>
        <w:ind w:firstLine="480" w:firstLineChars="200"/>
        <w:rPr>
          <w:bCs/>
          <w:sz w:val="24"/>
        </w:rPr>
      </w:pPr>
      <w:r>
        <w:rPr>
          <w:bCs/>
          <w:sz w:val="24"/>
        </w:rPr>
        <w:t xml:space="preserve">1、基金管理人的管理费 </w:t>
      </w:r>
    </w:p>
    <w:p>
      <w:pPr>
        <w:spacing w:line="360" w:lineRule="auto"/>
        <w:ind w:firstLine="480" w:firstLineChars="200"/>
        <w:rPr>
          <w:bCs/>
          <w:sz w:val="24"/>
        </w:rPr>
      </w:pPr>
      <w:r>
        <w:rPr>
          <w:bCs/>
          <w:sz w:val="24"/>
        </w:rPr>
        <w:t>本基金的管理费按前一日基金资产净值的</w:t>
      </w:r>
      <w:r>
        <w:rPr>
          <w:rFonts w:hint="eastAsia"/>
          <w:bCs/>
          <w:sz w:val="24"/>
        </w:rPr>
        <w:t>0.80</w:t>
      </w:r>
      <w:r>
        <w:rPr>
          <w:bCs/>
          <w:sz w:val="24"/>
        </w:rPr>
        <w:t>%年费率计提。管理费的计算方法如下：</w:t>
      </w:r>
    </w:p>
    <w:p>
      <w:pPr>
        <w:spacing w:line="360" w:lineRule="auto"/>
        <w:ind w:firstLine="480" w:firstLineChars="200"/>
        <w:rPr>
          <w:bCs/>
          <w:sz w:val="24"/>
        </w:rPr>
      </w:pPr>
      <w:r>
        <w:rPr>
          <w:bCs/>
          <w:sz w:val="24"/>
        </w:rPr>
        <w:t>H＝E×0.80%÷当年天数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0.20</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rPr>
        <w:t>0.20</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rFonts w:hint="eastAsia"/>
          <w:bCs/>
          <w:sz w:val="24"/>
        </w:rPr>
        <w:t>3、销售服务费</w:t>
      </w:r>
    </w:p>
    <w:p>
      <w:pPr>
        <w:spacing w:line="360" w:lineRule="auto"/>
        <w:ind w:firstLine="480" w:firstLineChars="200"/>
        <w:rPr>
          <w:bCs/>
          <w:sz w:val="24"/>
        </w:rPr>
      </w:pPr>
      <w:r>
        <w:rPr>
          <w:rFonts w:hint="eastAsia"/>
          <w:bCs/>
          <w:sz w:val="24"/>
        </w:rPr>
        <w:t>本基金 A类基金份额不收取销售服务费， C类基金份额的销售服务费按前一日C类基金份额资产净值的0.50%年费率计提。计算方法如下：</w:t>
      </w:r>
    </w:p>
    <w:p>
      <w:pPr>
        <w:spacing w:line="360" w:lineRule="auto"/>
        <w:ind w:firstLine="480" w:firstLineChars="200"/>
        <w:rPr>
          <w:bCs/>
          <w:sz w:val="24"/>
        </w:rPr>
      </w:pPr>
      <w:r>
        <w:rPr>
          <w:rFonts w:hint="eastAsia"/>
          <w:bCs/>
          <w:sz w:val="24"/>
        </w:rPr>
        <w:t>H＝E×0.50%÷当年天数</w:t>
      </w:r>
    </w:p>
    <w:p>
      <w:pPr>
        <w:spacing w:line="360" w:lineRule="auto"/>
        <w:ind w:firstLine="480" w:firstLineChars="200"/>
        <w:rPr>
          <w:bCs/>
          <w:sz w:val="24"/>
        </w:rPr>
      </w:pPr>
      <w:r>
        <w:rPr>
          <w:rFonts w:hint="eastAsia"/>
          <w:bCs/>
          <w:sz w:val="24"/>
        </w:rPr>
        <w:t>H为C类基金份额每日应计提的销售服务费</w:t>
      </w:r>
    </w:p>
    <w:p>
      <w:pPr>
        <w:spacing w:line="360" w:lineRule="auto"/>
        <w:ind w:firstLine="480" w:firstLineChars="200"/>
        <w:rPr>
          <w:bCs/>
          <w:sz w:val="24"/>
        </w:rPr>
      </w:pPr>
      <w:r>
        <w:rPr>
          <w:rFonts w:hint="eastAsia"/>
          <w:bCs/>
          <w:sz w:val="24"/>
        </w:rPr>
        <w:t>E为C类基金份额前一日基金资产净值</w:t>
      </w:r>
    </w:p>
    <w:p>
      <w:pPr>
        <w:spacing w:line="360" w:lineRule="auto"/>
        <w:ind w:firstLine="480" w:firstLineChars="200"/>
        <w:rPr>
          <w:bCs/>
          <w:sz w:val="24"/>
        </w:rPr>
      </w:pPr>
      <w:r>
        <w:rPr>
          <w:rFonts w:hint="eastAsia"/>
          <w:bCs/>
          <w:sz w:val="24"/>
        </w:rPr>
        <w:t>C类基金份额的销售服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rFonts w:hint="eastAsia"/>
          <w:bCs/>
          <w:sz w:val="24"/>
        </w:rPr>
        <w:t>销售服务费主要用于支付销售机构佣金、以及基金管理人的基金行销广告费、促销活动费、基金份额持有人服务费等。</w:t>
      </w:r>
    </w:p>
    <w:p>
      <w:pPr>
        <w:spacing w:line="360" w:lineRule="auto"/>
        <w:ind w:firstLine="480" w:firstLineChars="200"/>
        <w:rPr>
          <w:bCs/>
          <w:sz w:val="24"/>
        </w:rPr>
      </w:pPr>
      <w:r>
        <w:rPr>
          <w:bCs/>
          <w:sz w:val="24"/>
        </w:rPr>
        <w:t>上述</w:t>
      </w:r>
      <w:r>
        <w:rPr>
          <w:rFonts w:asciiTheme="minorEastAsia" w:hAnsiTheme="minorEastAsia" w:eastAsiaTheme="minorEastAsia"/>
          <w:bCs/>
          <w:sz w:val="24"/>
        </w:rPr>
        <w:t>“</w:t>
      </w:r>
      <w:r>
        <w:rPr>
          <w:rFonts w:hint="eastAsia"/>
          <w:bCs/>
          <w:sz w:val="24"/>
        </w:rPr>
        <w:t>（一）</w:t>
      </w:r>
      <w:r>
        <w:rPr>
          <w:bCs/>
          <w:sz w:val="24"/>
        </w:rPr>
        <w:t>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pPr>
        <w:spacing w:line="360" w:lineRule="auto"/>
        <w:ind w:firstLine="480" w:firstLineChars="200"/>
        <w:rPr>
          <w:bCs/>
          <w:sz w:val="24"/>
        </w:rPr>
      </w:pPr>
      <w:r>
        <w:rPr>
          <w:rFonts w:hint="eastAsia"/>
          <w:bCs/>
          <w:sz w:val="24"/>
        </w:rPr>
        <w:t>（三）</w:t>
      </w:r>
      <w:r>
        <w:rPr>
          <w:bCs/>
          <w:sz w:val="24"/>
        </w:rPr>
        <w:t>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p>
    <w:p>
      <w:pPr>
        <w:spacing w:line="360" w:lineRule="auto"/>
        <w:ind w:firstLine="480" w:firstLineChars="200"/>
        <w:rPr>
          <w:bCs/>
          <w:sz w:val="24"/>
        </w:rPr>
      </w:pPr>
      <w:r>
        <w:rPr>
          <w:rFonts w:hint="eastAsia"/>
          <w:bCs/>
          <w:sz w:val="24"/>
        </w:rPr>
        <w:t xml:space="preserve">（四）实施侧袋机制期间的基金费用 </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sz w:val="24"/>
        </w:rPr>
      </w:pPr>
      <w:r>
        <w:rPr>
          <w:rFonts w:hint="eastAsia"/>
          <w:bCs/>
          <w:sz w:val="24"/>
        </w:rPr>
        <w:t>（五）</w:t>
      </w:r>
      <w:r>
        <w:rPr>
          <w:bCs/>
          <w:sz w:val="24"/>
        </w:rPr>
        <w:t>基金税收</w:t>
      </w:r>
    </w:p>
    <w:p>
      <w:pPr>
        <w:spacing w:line="360" w:lineRule="auto"/>
        <w:ind w:firstLine="480" w:firstLineChars="20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pPr>
        <w:autoSpaceDE w:val="0"/>
        <w:autoSpaceDN w:val="0"/>
        <w:adjustRightInd w:val="0"/>
        <w:spacing w:line="360" w:lineRule="auto"/>
        <w:ind w:firstLine="480" w:firstLineChars="200"/>
        <w:jc w:val="left"/>
        <w:rPr>
          <w:bCs/>
          <w:sz w:val="24"/>
          <w:szCs w:val="24"/>
        </w:rPr>
      </w:pPr>
      <w:r>
        <w:rPr>
          <w:rFonts w:hint="eastAsia"/>
          <w:bCs/>
          <w:sz w:val="24"/>
          <w:szCs w:val="24"/>
        </w:rPr>
        <w:t xml:space="preserve">五、基金财产的投资方向和投资限制； </w:t>
      </w:r>
    </w:p>
    <w:p>
      <w:pPr>
        <w:spacing w:line="360" w:lineRule="auto"/>
        <w:ind w:firstLine="480" w:firstLineChars="200"/>
        <w:rPr>
          <w:bCs/>
          <w:sz w:val="24"/>
        </w:rPr>
      </w:pPr>
      <w:r>
        <w:rPr>
          <w:rFonts w:hint="eastAsia"/>
          <w:bCs/>
          <w:sz w:val="24"/>
        </w:rPr>
        <w:t>（一）</w:t>
      </w:r>
      <w:r>
        <w:rPr>
          <w:bCs/>
          <w:sz w:val="24"/>
        </w:rPr>
        <w:t>投资目标</w:t>
      </w:r>
    </w:p>
    <w:p>
      <w:pPr>
        <w:spacing w:line="360" w:lineRule="auto"/>
        <w:ind w:firstLine="480" w:firstLineChars="200"/>
        <w:rPr>
          <w:bCs/>
          <w:sz w:val="24"/>
        </w:rPr>
      </w:pPr>
      <w:r>
        <w:rPr>
          <w:rFonts w:hint="eastAsia"/>
          <w:bCs/>
          <w:sz w:val="24"/>
        </w:rPr>
        <w:t>本基金在严格控制风险的前提下，通过各类资产的合理配置，力争实现基金资产的长期稳健增值。</w:t>
      </w:r>
    </w:p>
    <w:p>
      <w:pPr>
        <w:spacing w:line="360" w:lineRule="auto"/>
        <w:ind w:firstLine="480" w:firstLineChars="200"/>
        <w:rPr>
          <w:bCs/>
          <w:sz w:val="24"/>
        </w:rPr>
      </w:pPr>
      <w:r>
        <w:rPr>
          <w:rFonts w:hint="eastAsia"/>
          <w:bCs/>
          <w:sz w:val="24"/>
        </w:rPr>
        <w:t>（二）</w:t>
      </w:r>
      <w:r>
        <w:rPr>
          <w:bCs/>
          <w:sz w:val="24"/>
        </w:rPr>
        <w:t>投资范围</w:t>
      </w:r>
    </w:p>
    <w:p>
      <w:pPr>
        <w:spacing w:line="360" w:lineRule="auto"/>
        <w:ind w:firstLine="480" w:firstLineChars="200"/>
        <w:rPr>
          <w:bCs/>
          <w:sz w:val="24"/>
        </w:rPr>
      </w:pPr>
      <w:r>
        <w:rPr>
          <w:rFonts w:hint="eastAsia"/>
          <w:bCs/>
          <w:sz w:val="24"/>
        </w:rPr>
        <w:t>本基金的投资范围包括国内依法发行上市的股票（含主板</w:t>
      </w:r>
      <w:r>
        <w:rPr>
          <w:bCs/>
          <w:sz w:val="24"/>
        </w:rPr>
        <w:t>、</w:t>
      </w:r>
      <w:r>
        <w:rPr>
          <w:rFonts w:hint="eastAsia"/>
          <w:bCs/>
          <w:sz w:val="24"/>
        </w:rPr>
        <w:t>中小板、创业板及其他经中国证监会允许投资的股票）、债券（包括国债、央行票据、金融债券、企业债券、公司债券、中期票据、短期融资券、超短期融资券、次级债券、政府支持机构债券、政府支持债券、地方政府债券、可交换债券、可转换债券（含分离交易可转债）及其他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p>
    <w:p>
      <w:pPr>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firstLineChars="200"/>
        <w:rPr>
          <w:bCs/>
          <w:sz w:val="24"/>
        </w:rPr>
      </w:pPr>
      <w:r>
        <w:rPr>
          <w:rFonts w:hint="eastAsia"/>
          <w:bCs/>
          <w:sz w:val="24"/>
        </w:rPr>
        <w:t>基金的投资组合比例为：本基金投资于股票的比例不高于基金资产的30%； 本基金投资于同业存单的比例不得超过基金资产的20％。在开放期内，每个交易日日终在扣除股指期货、国债期货合约需缴纳的交易保证金以后，基金保留的现金或投资于到期日在一年以内的政府债券的比例合计不低于基金资产净值的5%，本基金所指的现金不包括结算备付金、存出保证金、应收申购款等。在封闭期内，本基金不受上述5%的限制，但每个交易日日终在扣除股指期货、国债期货合约需缴纳的交易保证金后，应当保持不低于交易保证金一倍的现金。</w:t>
      </w:r>
    </w:p>
    <w:p>
      <w:pPr>
        <w:spacing w:line="360" w:lineRule="auto"/>
        <w:ind w:firstLine="480" w:firstLineChars="200"/>
        <w:rPr>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firstLineChars="200"/>
        <w:rPr>
          <w:bCs/>
          <w:sz w:val="24"/>
        </w:rPr>
      </w:pPr>
      <w:r>
        <w:rPr>
          <w:rFonts w:hint="eastAsia"/>
          <w:bCs/>
          <w:sz w:val="24"/>
        </w:rPr>
        <w:t>（三）</w:t>
      </w:r>
      <w:r>
        <w:rPr>
          <w:bCs/>
          <w:sz w:val="24"/>
        </w:rPr>
        <w:t>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rFonts w:hint="eastAsia"/>
          <w:bCs/>
          <w:sz w:val="24"/>
        </w:rPr>
        <w:t>基金的投资组合应遵循以下限制：</w:t>
      </w:r>
    </w:p>
    <w:p>
      <w:pPr>
        <w:spacing w:line="360" w:lineRule="auto"/>
        <w:ind w:firstLine="480" w:firstLineChars="200"/>
        <w:rPr>
          <w:bCs/>
          <w:sz w:val="24"/>
        </w:rPr>
      </w:pPr>
      <w:r>
        <w:rPr>
          <w:rFonts w:hint="eastAsia"/>
          <w:bCs/>
          <w:sz w:val="24"/>
        </w:rPr>
        <w:t>（1）本基金投资于股票的比例不高于基金资产的30%；本基金投资于同业存单的比例不得超过基金资产的20％；</w:t>
      </w:r>
    </w:p>
    <w:p>
      <w:pPr>
        <w:spacing w:line="360" w:lineRule="auto"/>
        <w:ind w:firstLine="480" w:firstLineChars="200"/>
        <w:rPr>
          <w:bCs/>
          <w:sz w:val="24"/>
        </w:rPr>
      </w:pPr>
      <w:r>
        <w:rPr>
          <w:rFonts w:hint="eastAsia"/>
          <w:bCs/>
          <w:sz w:val="24"/>
        </w:rPr>
        <w:t>（2）在开放期内，每个交易日日终在扣除股指期货、国债期货合约需缴纳的交易保证金以后，基金保留的现金或投资于到期日在一年以内的政府债券的比例合计不低于基金资产净值的5%，本基金所指的现金不包括结算备付金、存出保证金、应收申购款等。在封闭期内，本基金不受上述5%的限制，但每个交易日日终在扣除股指期货、国债期货合约需缴纳的交易保证金后，应当保持不低于交易保证金一倍的现金；</w:t>
      </w:r>
    </w:p>
    <w:p>
      <w:pPr>
        <w:spacing w:line="360" w:lineRule="auto"/>
        <w:ind w:firstLine="480" w:firstLineChars="200"/>
        <w:rPr>
          <w:bCs/>
          <w:sz w:val="24"/>
        </w:rPr>
      </w:pPr>
      <w:r>
        <w:rPr>
          <w:rFonts w:hint="eastAsia"/>
          <w:bCs/>
          <w:sz w:val="24"/>
        </w:rPr>
        <w:t xml:space="preserve">（3）本基金持有一家公司发行的证券，其市值不超过基金资产净值的10％;   </w:t>
      </w:r>
    </w:p>
    <w:p>
      <w:pPr>
        <w:spacing w:line="360" w:lineRule="auto"/>
        <w:ind w:firstLine="480" w:firstLineChars="200"/>
        <w:rPr>
          <w:bCs/>
          <w:sz w:val="24"/>
        </w:rPr>
      </w:pPr>
      <w:r>
        <w:rPr>
          <w:rFonts w:hint="eastAsia"/>
          <w:bCs/>
          <w:sz w:val="24"/>
        </w:rPr>
        <w:t>（4）本基金管理人管理的全部基金持有一家公司发行的证券，不超过该证券的10％，完全按照有关指数的构成比例进行证券投资的基金品种可以不受此条款规定的比例限制；</w:t>
      </w:r>
    </w:p>
    <w:p>
      <w:pPr>
        <w:spacing w:line="360" w:lineRule="auto"/>
        <w:ind w:firstLine="480" w:firstLineChars="200"/>
        <w:rPr>
          <w:bCs/>
          <w:sz w:val="24"/>
        </w:rPr>
      </w:pPr>
      <w:r>
        <w:rPr>
          <w:rFonts w:hint="eastAsia"/>
          <w:bCs/>
          <w:sz w:val="24"/>
        </w:rPr>
        <w:t>（</w:t>
      </w:r>
      <w:r>
        <w:rPr>
          <w:bCs/>
          <w:sz w:val="24"/>
        </w:rPr>
        <w:t>5</w:t>
      </w:r>
      <w:r>
        <w:rPr>
          <w:rFonts w:hint="eastAsia"/>
          <w:bCs/>
          <w:sz w:val="24"/>
        </w:rPr>
        <w:t xml:space="preserve">）本基金投资于同一原始权益人的各类资产支持证券的比例，不得超过基金资产净值的10％； </w:t>
      </w:r>
    </w:p>
    <w:p>
      <w:pPr>
        <w:spacing w:line="360" w:lineRule="auto"/>
        <w:ind w:firstLine="480" w:firstLineChars="200"/>
        <w:rPr>
          <w:bCs/>
          <w:sz w:val="24"/>
        </w:rPr>
      </w:pPr>
      <w:r>
        <w:rPr>
          <w:rFonts w:hint="eastAsia"/>
          <w:bCs/>
          <w:sz w:val="24"/>
        </w:rPr>
        <w:t>（</w:t>
      </w:r>
      <w:r>
        <w:rPr>
          <w:bCs/>
          <w:sz w:val="24"/>
        </w:rPr>
        <w:t>6</w:t>
      </w:r>
      <w:r>
        <w:rPr>
          <w:rFonts w:hint="eastAsia"/>
          <w:bCs/>
          <w:sz w:val="24"/>
        </w:rPr>
        <w:t>）本基金持有的全部资产支持证券，其市值不得超过基金资产净值的20％；</w:t>
      </w:r>
    </w:p>
    <w:p>
      <w:pPr>
        <w:spacing w:line="360" w:lineRule="auto"/>
        <w:ind w:firstLine="480" w:firstLineChars="200"/>
        <w:rPr>
          <w:bCs/>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）本基金持有的同一(指同一信用级别)资产支持证券的比例，不得超过该资产支持证券规模的10％；</w:t>
      </w:r>
    </w:p>
    <w:p>
      <w:pPr>
        <w:spacing w:line="360" w:lineRule="auto"/>
        <w:ind w:firstLine="480" w:firstLineChars="20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w:t>
      </w:r>
      <w:r>
        <w:rPr>
          <w:bCs/>
          <w:sz w:val="24"/>
        </w:rPr>
        <w:t>9</w:t>
      </w:r>
      <w:r>
        <w:rPr>
          <w:rFonts w:hint="eastAsia"/>
          <w:bCs/>
          <w:sz w:val="24"/>
        </w:rPr>
        <w:t>）本基金应投资于信用级别评级为 BBB 以上(含 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rFonts w:hint="eastAsia"/>
          <w:bCs/>
          <w:sz w:val="24"/>
        </w:rPr>
        <w:t>（1</w:t>
      </w:r>
      <w:r>
        <w:rPr>
          <w:bCs/>
          <w:sz w:val="24"/>
        </w:rPr>
        <w:t>0</w:t>
      </w:r>
      <w:r>
        <w:rPr>
          <w:rFonts w:hint="eastAsia"/>
          <w:bCs/>
          <w:sz w:val="24"/>
        </w:rPr>
        <w:t xml:space="preserve">）基金财产参与股票发行申购，本基金所申报的金额不超过本基金的总资产，本基金所申报的股票数量不超过拟发行股票公司本次发行股票的总量； </w:t>
      </w:r>
    </w:p>
    <w:p>
      <w:pPr>
        <w:spacing w:line="360" w:lineRule="auto"/>
        <w:ind w:firstLine="480" w:firstLineChars="200"/>
        <w:rPr>
          <w:bCs/>
          <w:sz w:val="24"/>
        </w:rPr>
      </w:pPr>
      <w:r>
        <w:rPr>
          <w:rFonts w:hint="eastAsia"/>
          <w:bCs/>
          <w:sz w:val="24"/>
        </w:rPr>
        <w:t>（1</w:t>
      </w:r>
      <w:r>
        <w:rPr>
          <w:bCs/>
          <w:sz w:val="24"/>
        </w:rPr>
        <w:t>1</w:t>
      </w:r>
      <w:r>
        <w:rPr>
          <w:rFonts w:hint="eastAsia"/>
          <w:bCs/>
          <w:sz w:val="24"/>
        </w:rPr>
        <w:t>）本基金进入全国银行间同业市场进行债券回购的资金余额不得超过基金资产净值的40%，进入全国银行间同业市场进行债券回购的最长期限为1年，债券回购到期后不得展期；</w:t>
      </w:r>
    </w:p>
    <w:p>
      <w:pPr>
        <w:spacing w:line="360" w:lineRule="auto"/>
        <w:ind w:firstLine="480" w:firstLineChars="200"/>
        <w:rPr>
          <w:bCs/>
          <w:sz w:val="24"/>
        </w:rPr>
      </w:pPr>
      <w:r>
        <w:rPr>
          <w:rFonts w:hint="eastAsia"/>
          <w:bCs/>
          <w:sz w:val="24"/>
        </w:rPr>
        <w:t>（1</w:t>
      </w:r>
      <w:r>
        <w:rPr>
          <w:bCs/>
          <w:sz w:val="24"/>
        </w:rPr>
        <w:t>2</w:t>
      </w:r>
      <w:r>
        <w:rPr>
          <w:rFonts w:hint="eastAsia"/>
          <w:bCs/>
          <w:sz w:val="24"/>
        </w:rPr>
        <w:t>）本基金参与股指期货交易，应当符合下列投资限制：</w:t>
      </w:r>
    </w:p>
    <w:p>
      <w:pPr>
        <w:spacing w:line="360" w:lineRule="auto"/>
        <w:ind w:firstLine="480" w:firstLineChars="200"/>
        <w:rPr>
          <w:bCs/>
          <w:sz w:val="24"/>
        </w:rPr>
      </w:pPr>
      <w:r>
        <w:rPr>
          <w:rFonts w:hint="eastAsia"/>
          <w:bCs/>
          <w:sz w:val="24"/>
        </w:rPr>
        <w:t xml:space="preserve"> 1）在任何交易日日终，持有的买入股指期货合约价值不得超过基金资产净值的10%； </w:t>
      </w:r>
    </w:p>
    <w:p>
      <w:pPr>
        <w:spacing w:line="360" w:lineRule="auto"/>
        <w:ind w:firstLine="480" w:firstLineChars="200"/>
        <w:rPr>
          <w:bCs/>
          <w:sz w:val="24"/>
        </w:rPr>
      </w:pPr>
      <w:r>
        <w:rPr>
          <w:rFonts w:hint="eastAsia"/>
          <w:bCs/>
          <w:sz w:val="24"/>
        </w:rPr>
        <w:t>2）在开放期任何交易日日终，持有的买入股指期货、国债期货合约价值与有价证券市值之和，不得超过基金资产净值的95%</w:t>
      </w:r>
      <w:r>
        <w:rPr>
          <w:bCs/>
          <w:sz w:val="24"/>
        </w:rPr>
        <w:t>；在封闭期任何交易日日终，</w:t>
      </w:r>
      <w:r>
        <w:rPr>
          <w:rFonts w:hint="eastAsia"/>
          <w:bCs/>
          <w:sz w:val="24"/>
        </w:rPr>
        <w:t>持有的买入股指期货、国债期货合约价值与有价证券市值之和，</w:t>
      </w:r>
      <w:r>
        <w:rPr>
          <w:bCs/>
          <w:sz w:val="24"/>
        </w:rPr>
        <w:t>不得超过基金资产净值的100%</w:t>
      </w:r>
      <w:r>
        <w:rPr>
          <w:rFonts w:hint="eastAsia"/>
          <w:bCs/>
          <w:sz w:val="24"/>
        </w:rPr>
        <w:t>。其中，有价证券指股票、债券（不含到期日在一年以内的政府债券）、资产支持证券、买入返售金融资产（不含质押式回购）等；</w:t>
      </w:r>
    </w:p>
    <w:p>
      <w:pPr>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spacing w:line="360" w:lineRule="auto"/>
        <w:ind w:firstLine="480" w:firstLineChars="200"/>
        <w:rPr>
          <w:bCs/>
          <w:sz w:val="24"/>
        </w:rPr>
      </w:pPr>
      <w:r>
        <w:rPr>
          <w:rFonts w:hint="eastAsia"/>
          <w:bCs/>
          <w:sz w:val="24"/>
        </w:rPr>
        <w:t xml:space="preserve">4）本基金所持有的股票市值和买入、卖出股指期货合约价值，合计（轧差计算）应当符合《基金合同》关于股票投资比例的有关约定； </w:t>
      </w:r>
    </w:p>
    <w:p>
      <w:pPr>
        <w:spacing w:line="360" w:lineRule="auto"/>
        <w:ind w:firstLine="480" w:firstLineChars="200"/>
        <w:rPr>
          <w:bCs/>
          <w:sz w:val="24"/>
        </w:rPr>
      </w:pPr>
      <w:r>
        <w:rPr>
          <w:rFonts w:hint="eastAsia"/>
          <w:bCs/>
          <w:sz w:val="24"/>
        </w:rPr>
        <w:t xml:space="preserve">5）本基金在任何交易日内交易（不包括平仓）的股指期货合约的成交金额不得超过上一交易日基金资产净值的20%； </w:t>
      </w:r>
    </w:p>
    <w:p>
      <w:pPr>
        <w:spacing w:line="360" w:lineRule="auto"/>
        <w:ind w:firstLine="480" w:firstLineChars="200"/>
        <w:rPr>
          <w:bCs/>
          <w:sz w:val="24"/>
        </w:rPr>
      </w:pPr>
      <w:r>
        <w:rPr>
          <w:rFonts w:hint="eastAsia"/>
          <w:bCs/>
          <w:sz w:val="24"/>
        </w:rPr>
        <w:t xml:space="preserve">（13）本基金参与国债期货交易，应当符合下列投资限制： </w:t>
      </w:r>
    </w:p>
    <w:p>
      <w:pPr>
        <w:spacing w:line="360" w:lineRule="auto"/>
        <w:ind w:firstLine="480" w:firstLineChars="200"/>
        <w:rPr>
          <w:bCs/>
          <w:sz w:val="24"/>
        </w:rPr>
      </w:pPr>
      <w:r>
        <w:rPr>
          <w:rFonts w:hint="eastAsia"/>
          <w:bCs/>
          <w:sz w:val="24"/>
        </w:rPr>
        <w:t>1）本基金在任何交易日日终，持有的买入国债期货合约价值，不得超过基金资产净值的15%；</w:t>
      </w:r>
    </w:p>
    <w:p>
      <w:pPr>
        <w:spacing w:line="360" w:lineRule="auto"/>
        <w:ind w:firstLine="480" w:firstLineChars="200"/>
        <w:rPr>
          <w:bCs/>
          <w:sz w:val="24"/>
        </w:rPr>
      </w:pPr>
      <w:r>
        <w:rPr>
          <w:rFonts w:hint="eastAsia"/>
          <w:bCs/>
          <w:sz w:val="24"/>
        </w:rPr>
        <w:t xml:space="preserve"> 2）本基金在任何交易日日终，持有的卖出国债期货合约价值不得超过基金持有的债券总市值的 30%；</w:t>
      </w:r>
    </w:p>
    <w:p>
      <w:pPr>
        <w:spacing w:line="360" w:lineRule="auto"/>
        <w:ind w:firstLine="480" w:firstLineChars="200"/>
        <w:rPr>
          <w:bCs/>
          <w:sz w:val="24"/>
        </w:rPr>
      </w:pPr>
      <w:r>
        <w:rPr>
          <w:rFonts w:hint="eastAsia"/>
          <w:bCs/>
          <w:sz w:val="24"/>
        </w:rPr>
        <w:t xml:space="preserve">3）本基金在任何交易日内交易（不包括平仓）的国债期货合约的成交金额不得超过上一交易日基金资产净值的30%； </w:t>
      </w:r>
    </w:p>
    <w:p>
      <w:pPr>
        <w:spacing w:line="360" w:lineRule="auto"/>
        <w:ind w:firstLine="480" w:firstLineChars="200"/>
        <w:rPr>
          <w:bCs/>
          <w:sz w:val="24"/>
        </w:rPr>
      </w:pPr>
      <w:r>
        <w:rPr>
          <w:rFonts w:hint="eastAsia"/>
          <w:bCs/>
          <w:sz w:val="24"/>
        </w:rPr>
        <w:t xml:space="preserve">4）本基金所持有的债券（不含到期日在一年以内的政府债券）市值和买入、卖出国债期货合约价值，合计（轧差计算）应当符合基金合同关于债券投资比例的有关约定； </w:t>
      </w:r>
    </w:p>
    <w:p>
      <w:pPr>
        <w:spacing w:line="360" w:lineRule="auto"/>
        <w:ind w:firstLine="480" w:firstLineChars="200"/>
        <w:rPr>
          <w:bCs/>
          <w:sz w:val="24"/>
        </w:rPr>
      </w:pPr>
      <w:r>
        <w:rPr>
          <w:rFonts w:hint="eastAsia"/>
          <w:bCs/>
          <w:sz w:val="24"/>
        </w:rPr>
        <w:t xml:space="preserve">（14）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 </w:t>
      </w:r>
    </w:p>
    <w:p>
      <w:pPr>
        <w:spacing w:line="360" w:lineRule="auto"/>
        <w:ind w:firstLine="480" w:firstLineChars="200"/>
        <w:rPr>
          <w:bCs/>
          <w:sz w:val="24"/>
        </w:rPr>
      </w:pPr>
      <w:r>
        <w:rPr>
          <w:rFonts w:hint="eastAsia"/>
          <w:bCs/>
          <w:sz w:val="24"/>
        </w:rPr>
        <w:t xml:space="preserve">（15）开放期内，本基金主动投资于流动性受限资产的市值合计不得超过基金资产净值的15%；封闭期内不受此限制。因证券市场波动、上市公司股票停牌、基金规模变动等基金管理人之外的因素致使基金不符合该比例限制的，基金管理人不得主动新增流动性受限资产的投资； </w:t>
      </w:r>
    </w:p>
    <w:p>
      <w:pPr>
        <w:spacing w:line="360" w:lineRule="auto"/>
        <w:ind w:firstLine="480" w:firstLineChars="200"/>
        <w:rPr>
          <w:bCs/>
          <w:sz w:val="24"/>
        </w:rPr>
      </w:pPr>
      <w:r>
        <w:rPr>
          <w:rFonts w:hint="eastAsia"/>
          <w:bCs/>
          <w:sz w:val="24"/>
        </w:rPr>
        <w:t>（</w:t>
      </w:r>
      <w:r>
        <w:rPr>
          <w:bCs/>
          <w:sz w:val="24"/>
        </w:rPr>
        <w:t>1</w:t>
      </w:r>
      <w:r>
        <w:rPr>
          <w:rFonts w:hint="eastAsia"/>
          <w:bCs/>
          <w:sz w:val="24"/>
        </w:rPr>
        <w:t>6）封闭期内，本基金资产总值不超过基金资产净值的200%；开放期内，本基金资产总值不超过基金资产净值的140%；</w:t>
      </w:r>
    </w:p>
    <w:p>
      <w:pPr>
        <w:spacing w:line="360" w:lineRule="auto"/>
        <w:ind w:firstLine="480" w:firstLineChars="200"/>
        <w:rPr>
          <w:bCs/>
          <w:sz w:val="24"/>
        </w:rPr>
      </w:pPr>
      <w:r>
        <w:rPr>
          <w:rFonts w:hint="eastAsia"/>
          <w:bCs/>
          <w:sz w:val="24"/>
        </w:rPr>
        <w:t>（</w:t>
      </w:r>
      <w:r>
        <w:rPr>
          <w:bCs/>
          <w:sz w:val="24"/>
        </w:rPr>
        <w:t>1</w:t>
      </w:r>
      <w:r>
        <w:rPr>
          <w:rFonts w:hint="eastAsia"/>
          <w:bCs/>
          <w:sz w:val="24"/>
        </w:rPr>
        <w:t>7）本基金与私募类证券资管产品及中国证监会认定的其他主体为交易对手开展逆回购交易的，可接受质押品的资质要求应当与本基金合同约定的投资范围保持一致；</w:t>
      </w:r>
    </w:p>
    <w:p>
      <w:pPr>
        <w:spacing w:line="360" w:lineRule="auto"/>
        <w:ind w:firstLine="480" w:firstLineChars="200"/>
        <w:rPr>
          <w:bCs/>
          <w:sz w:val="24"/>
        </w:rPr>
      </w:pPr>
      <w:r>
        <w:rPr>
          <w:rFonts w:hint="eastAsia"/>
          <w:bCs/>
          <w:sz w:val="24"/>
        </w:rPr>
        <w:t xml:space="preserve">（18）法律法规及中国证监会规定的和《基金合同》约定的其他投资限制。 </w:t>
      </w:r>
    </w:p>
    <w:p>
      <w:pPr>
        <w:spacing w:line="360" w:lineRule="auto"/>
        <w:ind w:firstLine="480" w:firstLineChars="200"/>
        <w:rPr>
          <w:bCs/>
          <w:sz w:val="24"/>
        </w:rPr>
      </w:pPr>
      <w:r>
        <w:rPr>
          <w:rFonts w:hint="eastAsia"/>
          <w:bCs/>
          <w:sz w:val="24"/>
        </w:rPr>
        <w:t>除上述第（2）、（</w:t>
      </w:r>
      <w:r>
        <w:rPr>
          <w:bCs/>
          <w:sz w:val="24"/>
        </w:rPr>
        <w:t>9</w:t>
      </w:r>
      <w:r>
        <w:rPr>
          <w:rFonts w:hint="eastAsia"/>
          <w:bCs/>
          <w:sz w:val="24"/>
        </w:rPr>
        <w:t>）、（15）、（17）项外，因证券、期货市场波动、证券发行人合并、基金规模变动等基金管理人之外的因素致使基金投资比例不符合上述规定投资比例的，基金管理人应当在10 个交易日内进行调整，但中国证监会规定的特殊情形除外。法律法规另有规定的，从其规定。</w:t>
      </w:r>
    </w:p>
    <w:p>
      <w:pPr>
        <w:spacing w:line="360" w:lineRule="auto"/>
        <w:ind w:firstLine="480" w:firstLineChars="200"/>
        <w:rPr>
          <w:bCs/>
          <w:sz w:val="24"/>
        </w:rPr>
      </w:pPr>
      <w:r>
        <w:rPr>
          <w:rFonts w:hint="eastAsia"/>
          <w:bCs/>
          <w:sz w:val="24"/>
        </w:rPr>
        <w:t>基金管理人应当自基金合同生效之日起 6 个月内使基金的投资组合比例符合基金合同的有关约定。在上述期间内，本基金的投资范围、投资策略应当符合基金合同的约定。基金托管人对基金的投资的监督与检查自本基金合同生效之日起开始。法律法规另有规定的，从其规定。</w:t>
      </w:r>
    </w:p>
    <w:p>
      <w:pPr>
        <w:spacing w:line="360" w:lineRule="auto"/>
        <w:ind w:firstLine="480" w:firstLineChars="200"/>
        <w:rPr>
          <w:bCs/>
          <w:sz w:val="24"/>
        </w:rPr>
      </w:pPr>
      <w:r>
        <w:rPr>
          <w:rFonts w:hint="eastAsia"/>
          <w:bCs/>
          <w:sz w:val="24"/>
        </w:rPr>
        <w:t>法律法规或监管部门取消或调整上述限制，如适用于本基金，基金管理人在履行适当程序后，则本基金投资不再受相关限制或以调整后的规定为准。</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pPr>
        <w:spacing w:line="360" w:lineRule="auto"/>
        <w:ind w:firstLine="480" w:firstLineChars="200"/>
        <w:rPr>
          <w:bCs/>
          <w:sz w:val="24"/>
        </w:rPr>
      </w:pPr>
      <w:r>
        <w:rPr>
          <w:rFonts w:hint="eastAsia"/>
          <w:bCs/>
          <w:sz w:val="24"/>
        </w:rPr>
        <w:t>（5）</w:t>
      </w:r>
      <w:r>
        <w:rPr>
          <w:bCs/>
          <w:sz w:val="24"/>
        </w:rPr>
        <w:t>向</w:t>
      </w:r>
      <w:r>
        <w:rPr>
          <w:rFonts w:hint="eastAsia"/>
          <w:bCs/>
          <w:sz w:val="24"/>
        </w:rPr>
        <w:t>其</w:t>
      </w:r>
      <w:r>
        <w:rPr>
          <w:bCs/>
          <w:sz w:val="24"/>
        </w:rPr>
        <w:t>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法律法规或监管部门取消上述限制，如适用于本基金，则本基金投资不再受相关限制。</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 xml:space="preserve">（四）侧袋机制的实施和投资运作安排 </w:t>
      </w:r>
    </w:p>
    <w:p>
      <w:pPr>
        <w:spacing w:line="360" w:lineRule="auto"/>
        <w:ind w:firstLine="480" w:firstLineChars="200"/>
        <w:rPr>
          <w:bCs/>
          <w:sz w:val="24"/>
        </w:rPr>
      </w:pPr>
      <w:r>
        <w:rPr>
          <w:rFonts w:hint="eastAsia"/>
          <w:bCs/>
          <w:sz w:val="24"/>
        </w:rPr>
        <w:t xml:space="preserve">当基金持有特定资产且存在或潜在大额赎回申请时，根据最大限度保护基金份额持有人利益的原则，基金管理人经与基金托管人协商一致，并咨询会计师事务所意见后，可以依照法律法规及基金合同的约定启用侧袋机制。 </w:t>
      </w:r>
    </w:p>
    <w:p>
      <w:pPr>
        <w:spacing w:line="360" w:lineRule="auto"/>
        <w:ind w:firstLine="480" w:firstLineChars="200"/>
        <w:rPr>
          <w:bCs/>
          <w:sz w:val="24"/>
        </w:rPr>
      </w:pPr>
      <w:r>
        <w:rPr>
          <w:rFonts w:hint="eastAsia"/>
          <w:bCs/>
          <w:sz w:val="24"/>
        </w:rPr>
        <w:t>侧袋机制实施期间，本部分约定的投资组合比例、投资策略、组合限制、业绩比较基准、风险收益特征等约定仅适用于主袋账户。</w:t>
      </w:r>
    </w:p>
    <w:p>
      <w:pPr>
        <w:spacing w:line="360" w:lineRule="auto"/>
        <w:ind w:firstLine="480" w:firstLineChars="200"/>
        <w:rPr>
          <w:bCs/>
          <w:sz w:val="24"/>
        </w:rPr>
      </w:pPr>
      <w:bookmarkStart w:id="475" w:name="_GoBack"/>
      <w:bookmarkEnd w:id="475"/>
      <w:r>
        <w:rPr>
          <w:rFonts w:hint="eastAsia"/>
          <w:bCs/>
          <w:sz w:val="24"/>
        </w:rPr>
        <w:t>侧袋账户的实施条件、实施程序、运作安排、投资安排、特定资产的处置变现和支付等对投资者权益有重大影响的事项详见招募说明书的规定。</w:t>
      </w:r>
    </w:p>
    <w:p>
      <w:pPr>
        <w:autoSpaceDE w:val="0"/>
        <w:autoSpaceDN w:val="0"/>
        <w:adjustRightInd w:val="0"/>
        <w:spacing w:line="360" w:lineRule="auto"/>
        <w:ind w:firstLine="480" w:firstLineChars="200"/>
        <w:jc w:val="left"/>
        <w:rPr>
          <w:bCs/>
          <w:sz w:val="24"/>
          <w:szCs w:val="24"/>
        </w:rPr>
      </w:pPr>
      <w:r>
        <w:rPr>
          <w:rFonts w:hint="eastAsia"/>
          <w:bCs/>
          <w:sz w:val="24"/>
          <w:szCs w:val="24"/>
        </w:rPr>
        <w:t xml:space="preserve">六、基金资产净值的计算方法和公告方式； </w:t>
      </w:r>
    </w:p>
    <w:p>
      <w:pPr>
        <w:autoSpaceDE w:val="0"/>
        <w:autoSpaceDN w:val="0"/>
        <w:adjustRightInd w:val="0"/>
        <w:spacing w:line="360" w:lineRule="auto"/>
        <w:ind w:firstLine="480" w:firstLineChars="200"/>
        <w:jc w:val="left"/>
        <w:rPr>
          <w:bCs/>
          <w:sz w:val="24"/>
          <w:szCs w:val="24"/>
        </w:rPr>
      </w:pPr>
      <w:r>
        <w:rPr>
          <w:rFonts w:hint="eastAsia"/>
          <w:bCs/>
          <w:sz w:val="24"/>
          <w:szCs w:val="24"/>
        </w:rPr>
        <w:t>（一）基金资产净值</w:t>
      </w:r>
    </w:p>
    <w:p>
      <w:pPr>
        <w:autoSpaceDE w:val="0"/>
        <w:autoSpaceDN w:val="0"/>
        <w:adjustRightInd w:val="0"/>
        <w:spacing w:line="360" w:lineRule="auto"/>
        <w:ind w:firstLine="480" w:firstLineChars="200"/>
        <w:jc w:val="left"/>
        <w:rPr>
          <w:bCs/>
          <w:sz w:val="24"/>
          <w:szCs w:val="24"/>
        </w:rPr>
      </w:pPr>
      <w:r>
        <w:rPr>
          <w:rFonts w:hint="eastAsia"/>
          <w:bCs/>
          <w:sz w:val="24"/>
          <w:szCs w:val="24"/>
        </w:rPr>
        <w:t>基金资产净值是指基金资产总值减去基金负债后的价值。</w:t>
      </w:r>
    </w:p>
    <w:p>
      <w:pPr>
        <w:spacing w:line="360" w:lineRule="auto"/>
        <w:ind w:firstLine="480" w:firstLineChars="200"/>
        <w:rPr>
          <w:bCs/>
          <w:sz w:val="24"/>
        </w:rPr>
      </w:pPr>
      <w:r>
        <w:rPr>
          <w:rFonts w:hint="eastAsia"/>
          <w:bCs/>
          <w:sz w:val="24"/>
        </w:rPr>
        <w:t>（二）估值方法</w:t>
      </w:r>
    </w:p>
    <w:p>
      <w:pPr>
        <w:spacing w:line="360" w:lineRule="auto"/>
        <w:ind w:firstLine="480" w:firstLineChars="200"/>
        <w:rPr>
          <w:bCs/>
          <w:sz w:val="24"/>
        </w:rPr>
      </w:pPr>
      <w:r>
        <w:rPr>
          <w:rFonts w:hint="eastAsia"/>
          <w:bCs/>
          <w:sz w:val="24"/>
        </w:rPr>
        <w:t>1、证券交易所上市的有价证券的估值</w:t>
      </w:r>
    </w:p>
    <w:p>
      <w:pPr>
        <w:spacing w:line="360" w:lineRule="auto"/>
        <w:ind w:firstLine="480" w:firstLineChars="200"/>
        <w:rPr>
          <w:bCs/>
          <w:sz w:val="24"/>
        </w:rPr>
      </w:pPr>
      <w:r>
        <w:rPr>
          <w:rFonts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bCs/>
          <w:sz w:val="24"/>
        </w:rPr>
      </w:pPr>
      <w:r>
        <w:rPr>
          <w:rFonts w:hint="eastAsia"/>
          <w:bCs/>
          <w:sz w:val="24"/>
        </w:rPr>
        <w:t>（2）交易所上市交易或挂牌转让的不含权固定收益品种，选取估值日第三方估值机构提供的相应品种当日的估值净价进行估值；</w:t>
      </w:r>
    </w:p>
    <w:p>
      <w:pPr>
        <w:spacing w:line="360" w:lineRule="auto"/>
        <w:ind w:firstLine="480" w:firstLineChars="200"/>
        <w:rPr>
          <w:bCs/>
          <w:sz w:val="24"/>
        </w:rPr>
      </w:pPr>
      <w:r>
        <w:rPr>
          <w:rFonts w:hint="eastAsia"/>
          <w:bCs/>
          <w:sz w:val="24"/>
        </w:rPr>
        <w:t>（3）交易所上市交易或挂牌转让的含权固定收益品种，选取估值日第三方估值机构提供的相应品种当日的唯一估值净价或推荐估值净价进行估值；</w:t>
      </w:r>
    </w:p>
    <w:p>
      <w:pPr>
        <w:spacing w:line="360" w:lineRule="auto"/>
        <w:ind w:firstLine="480" w:firstLineChars="200"/>
        <w:rPr>
          <w:bCs/>
          <w:sz w:val="24"/>
        </w:rPr>
      </w:pPr>
      <w:r>
        <w:rPr>
          <w:rFonts w:hint="eastAsia"/>
          <w:bCs/>
          <w:sz w:val="24"/>
        </w:rPr>
        <w:t>（4）交易所上市交易的可转换债券以每日收盘价作为估值全价；</w:t>
      </w:r>
    </w:p>
    <w:p>
      <w:pPr>
        <w:spacing w:line="360" w:lineRule="auto"/>
        <w:ind w:firstLine="480" w:firstLineChars="200"/>
        <w:rPr>
          <w:bCs/>
          <w:sz w:val="24"/>
        </w:rPr>
      </w:pPr>
      <w:r>
        <w:rPr>
          <w:rFonts w:hint="eastAsia"/>
          <w:bCs/>
          <w:sz w:val="24"/>
        </w:rPr>
        <w:t>（5）交易所上市不存在活跃市场的有价证券，采用估值技术确定公允价值。交易所市场挂牌转让的资产支持证券，采用估值技术确定公允价值；</w:t>
      </w:r>
    </w:p>
    <w:p>
      <w:pPr>
        <w:spacing w:line="360" w:lineRule="auto"/>
        <w:ind w:firstLine="480" w:firstLineChars="200"/>
        <w:rPr>
          <w:bCs/>
          <w:sz w:val="24"/>
        </w:rPr>
      </w:pPr>
      <w:r>
        <w:rPr>
          <w:rFonts w:hint="eastAsia"/>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360" w:lineRule="auto"/>
        <w:ind w:firstLine="480" w:firstLineChars="200"/>
        <w:rPr>
          <w:bCs/>
          <w:sz w:val="24"/>
        </w:rPr>
      </w:pPr>
      <w:r>
        <w:rPr>
          <w:rFonts w:hint="eastAsia"/>
          <w:bCs/>
          <w:sz w:val="24"/>
        </w:rPr>
        <w:t>2、处于未上市期间的有价证券应区分如下情况处理：</w:t>
      </w:r>
    </w:p>
    <w:p>
      <w:pPr>
        <w:spacing w:line="360" w:lineRule="auto"/>
        <w:ind w:firstLine="480" w:firstLineChars="200"/>
        <w:rPr>
          <w:bCs/>
          <w:sz w:val="24"/>
        </w:rPr>
      </w:pPr>
      <w:r>
        <w:rPr>
          <w:rFonts w:hint="eastAsia"/>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bCs/>
          <w:sz w:val="24"/>
        </w:rPr>
      </w:pPr>
      <w:r>
        <w:rPr>
          <w:rFonts w:hint="eastAsia"/>
          <w:bCs/>
          <w:sz w:val="24"/>
        </w:rPr>
        <w:t>（2）首次公开发行未上市的股票、债券，采用估值技术确定公允价值，在估值技术难以可靠计量公允价值的情况下，按成本估值；</w:t>
      </w:r>
    </w:p>
    <w:p>
      <w:pPr>
        <w:spacing w:line="360" w:lineRule="auto"/>
        <w:ind w:firstLine="480" w:firstLineChars="200"/>
        <w:rPr>
          <w:bCs/>
          <w:sz w:val="24"/>
        </w:rPr>
      </w:pPr>
      <w:r>
        <w:rPr>
          <w:rFonts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bCs/>
          <w:sz w:val="24"/>
        </w:rPr>
      </w:pPr>
      <w:r>
        <w:rPr>
          <w:rFonts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bCs/>
          <w:sz w:val="24"/>
        </w:rPr>
      </w:pPr>
      <w:r>
        <w:rPr>
          <w:rFonts w:hint="eastAsia"/>
          <w:bCs/>
          <w:sz w:val="24"/>
        </w:rPr>
        <w:t>4、本基金投资期货合约，一般以估值当日结算价进行估值，估值当日无结算价的，且最近交易日后经济环境未发生重大变化的，采用最近交易日结算价估值。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rFonts w:hint="eastAsia"/>
          <w:bCs/>
          <w:sz w:val="24"/>
        </w:rPr>
        <w:t>5、基金投资同业存单，按估值日第三方估值机构提供的估值净价估值；选定的第三方估值机构未提供估值价格的，按成本估值。</w:t>
      </w:r>
    </w:p>
    <w:p>
      <w:pPr>
        <w:spacing w:line="360" w:lineRule="auto"/>
        <w:ind w:firstLine="480" w:firstLineChars="200"/>
        <w:rPr>
          <w:bCs/>
          <w:sz w:val="24"/>
        </w:rPr>
      </w:pPr>
      <w:r>
        <w:rPr>
          <w:rFonts w:hint="eastAsia"/>
          <w:bCs/>
          <w:sz w:val="24"/>
        </w:rPr>
        <w:t>6、同一证券同时在两个或两个以上市场交易的，按证券所处的市场分别估值。</w:t>
      </w:r>
    </w:p>
    <w:p>
      <w:pPr>
        <w:spacing w:line="360" w:lineRule="auto"/>
        <w:ind w:firstLine="480" w:firstLineChars="200"/>
        <w:rPr>
          <w:bCs/>
          <w:sz w:val="24"/>
        </w:rPr>
      </w:pPr>
      <w:r>
        <w:rPr>
          <w:bCs/>
          <w:sz w:val="24"/>
        </w:rPr>
        <w:t>7</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spacing w:line="360" w:lineRule="auto"/>
        <w:ind w:firstLine="480" w:firstLineChars="200"/>
        <w:rPr>
          <w:bCs/>
          <w:sz w:val="24"/>
        </w:rPr>
      </w:pPr>
      <w:r>
        <w:rPr>
          <w:bCs/>
          <w:sz w:val="24"/>
        </w:rPr>
        <w:t>8</w:t>
      </w:r>
      <w:r>
        <w:rPr>
          <w:rFonts w:hint="eastAsia"/>
          <w:bCs/>
          <w:sz w:val="24"/>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bCs/>
          <w:sz w:val="24"/>
        </w:rPr>
        <w:t>9</w:t>
      </w:r>
      <w:r>
        <w:rPr>
          <w:rFonts w:hint="eastAsia"/>
          <w:bCs/>
          <w:sz w:val="24"/>
        </w:rPr>
        <w:t>、当发生大额申购或赎回情形时，基金管理人可以采用摆动定价机制，以确保基金估值的公平性。</w:t>
      </w:r>
    </w:p>
    <w:p>
      <w:pPr>
        <w:spacing w:line="360" w:lineRule="auto"/>
        <w:ind w:firstLine="480" w:firstLineChars="200"/>
        <w:rPr>
          <w:bCs/>
          <w:sz w:val="24"/>
        </w:rPr>
      </w:pPr>
      <w:r>
        <w:rPr>
          <w:bCs/>
          <w:sz w:val="24"/>
        </w:rPr>
        <w:t>10</w:t>
      </w:r>
      <w:r>
        <w:rPr>
          <w:rFonts w:hint="eastAsia"/>
          <w:bCs/>
          <w:sz w:val="24"/>
        </w:rPr>
        <w:t>、相关法律法规以及监管部门有强制规定的，从其规定。如有新增事项，按国家最新规定估值。</w:t>
      </w:r>
    </w:p>
    <w:p>
      <w:pPr>
        <w:spacing w:line="360" w:lineRule="auto"/>
        <w:ind w:firstLine="480" w:firstLineChars="20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rPr>
          <w:bCs/>
          <w:sz w:val="24"/>
        </w:rPr>
      </w:pPr>
      <w:r>
        <w:rPr>
          <w:rFonts w:hint="eastAsia"/>
          <w:bCs/>
          <w:sz w:val="24"/>
        </w:rPr>
        <w:t xml:space="preserve">（三）实施侧袋机制期间的基金资产估值 </w:t>
      </w:r>
    </w:p>
    <w:p>
      <w:pPr>
        <w:spacing w:line="360" w:lineRule="auto"/>
        <w:ind w:firstLine="480" w:firstLineChars="200"/>
        <w:rPr>
          <w:bCs/>
          <w:sz w:val="24"/>
        </w:rPr>
      </w:pPr>
      <w:r>
        <w:rPr>
          <w:rFonts w:hint="eastAsia"/>
          <w:bCs/>
          <w:sz w:val="24"/>
        </w:rPr>
        <w:t>本基金实施侧袋机制的，应根据本部分的约定对主袋账户资产进行估值并披露主袋账户的基金净值信息，暂停披露侧袋账户份额净值。</w:t>
      </w:r>
    </w:p>
    <w:p>
      <w:pPr>
        <w:autoSpaceDE w:val="0"/>
        <w:autoSpaceDN w:val="0"/>
        <w:adjustRightInd w:val="0"/>
        <w:spacing w:line="360" w:lineRule="auto"/>
        <w:ind w:firstLine="480" w:firstLineChars="200"/>
        <w:jc w:val="left"/>
        <w:rPr>
          <w:bCs/>
          <w:sz w:val="24"/>
          <w:szCs w:val="24"/>
        </w:rPr>
      </w:pPr>
      <w:r>
        <w:rPr>
          <w:rFonts w:hint="eastAsia"/>
          <w:bCs/>
          <w:sz w:val="24"/>
          <w:szCs w:val="24"/>
        </w:rPr>
        <w:t xml:space="preserve">七、基金合同的变更、终止与基金财产的清算； </w:t>
      </w:r>
    </w:p>
    <w:p>
      <w:pPr>
        <w:autoSpaceDE w:val="0"/>
        <w:autoSpaceDN w:val="0"/>
        <w:adjustRightInd w:val="0"/>
        <w:spacing w:line="360" w:lineRule="auto"/>
        <w:ind w:firstLine="480" w:firstLineChars="200"/>
        <w:jc w:val="left"/>
        <w:rPr>
          <w:bCs/>
          <w:sz w:val="24"/>
          <w:szCs w:val="24"/>
        </w:rPr>
      </w:pPr>
      <w:r>
        <w:rPr>
          <w:rFonts w:hint="eastAsia"/>
          <w:bCs/>
          <w:sz w:val="24"/>
          <w:szCs w:val="24"/>
        </w:rPr>
        <w:t>（一）《基金合同》的变更</w:t>
      </w:r>
    </w:p>
    <w:p>
      <w:pPr>
        <w:spacing w:line="360" w:lineRule="auto"/>
        <w:ind w:firstLine="480" w:firstLineChars="200"/>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自生效</w:t>
      </w:r>
      <w:r>
        <w:rPr>
          <w:bCs/>
          <w:sz w:val="24"/>
        </w:rPr>
        <w:t>后方可执行，自决议生效后两日内在规定媒介公告。</w:t>
      </w:r>
    </w:p>
    <w:p>
      <w:pPr>
        <w:spacing w:line="360" w:lineRule="auto"/>
        <w:ind w:firstLine="480" w:firstLineChars="200"/>
        <w:rPr>
          <w:bCs/>
          <w:sz w:val="24"/>
        </w:rPr>
      </w:pPr>
      <w:r>
        <w:rPr>
          <w:rFonts w:hint="eastAsia"/>
          <w:bCs/>
          <w:sz w:val="24"/>
        </w:rPr>
        <w:t>（二）</w:t>
      </w:r>
      <w:r>
        <w:rPr>
          <w:bCs/>
          <w:sz w:val="24"/>
        </w:rPr>
        <w:t>《基金合同》的终止事由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rPr>
          <w:bCs/>
          <w:sz w:val="24"/>
        </w:rPr>
      </w:pPr>
      <w:r>
        <w:rPr>
          <w:rFonts w:hint="eastAsia"/>
          <w:bCs/>
          <w:sz w:val="24"/>
        </w:rPr>
        <w:t>（三）</w:t>
      </w:r>
      <w:r>
        <w:rPr>
          <w:bCs/>
          <w:sz w:val="24"/>
        </w:rPr>
        <w:t>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w:t>
      </w:r>
      <w:r>
        <w:rPr>
          <w:rFonts w:hint="eastAsia"/>
          <w:bCs/>
          <w:sz w:val="24"/>
        </w:rPr>
        <w:t>符合《中华人民共和国证券法》规定的</w:t>
      </w:r>
      <w:r>
        <w:rPr>
          <w:bCs/>
          <w:sz w:val="24"/>
        </w:rPr>
        <w:t>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w:t>
      </w:r>
      <w:r>
        <w:rPr>
          <w:rFonts w:hint="eastAsia"/>
          <w:bCs/>
          <w:sz w:val="24"/>
        </w:rPr>
        <w:t>为6个月，但因本基金所持证券的流动性受到限制而不能及时变现的，清算期限相应顺延。</w:t>
      </w:r>
    </w:p>
    <w:p>
      <w:pPr>
        <w:spacing w:line="360" w:lineRule="auto"/>
        <w:ind w:firstLine="480" w:firstLineChars="200"/>
        <w:rPr>
          <w:bCs/>
          <w:sz w:val="24"/>
        </w:rPr>
      </w:pPr>
      <w:r>
        <w:rPr>
          <w:rFonts w:hint="eastAsia"/>
          <w:bCs/>
          <w:sz w:val="24"/>
        </w:rPr>
        <w:t>（四）</w:t>
      </w:r>
      <w:r>
        <w:rPr>
          <w:bCs/>
          <w:sz w:val="24"/>
        </w:rPr>
        <w:t>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spacing w:line="360" w:lineRule="auto"/>
        <w:ind w:firstLine="480" w:firstLineChars="200"/>
        <w:rPr>
          <w:bCs/>
          <w:sz w:val="24"/>
        </w:rPr>
      </w:pPr>
      <w:r>
        <w:rPr>
          <w:rFonts w:hint="eastAsia"/>
          <w:bCs/>
          <w:sz w:val="24"/>
        </w:rPr>
        <w:t>（五）</w:t>
      </w:r>
      <w:r>
        <w:rPr>
          <w:bCs/>
          <w:sz w:val="24"/>
        </w:rPr>
        <w:t>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rFonts w:hint="eastAsia"/>
          <w:bCs/>
          <w:sz w:val="24"/>
        </w:rPr>
        <w:t>（六）</w:t>
      </w:r>
      <w:r>
        <w:rPr>
          <w:bCs/>
          <w:sz w:val="24"/>
        </w:rPr>
        <w:t>基金财产清算的公告</w:t>
      </w:r>
    </w:p>
    <w:p>
      <w:pPr>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符合《中华人民共和国证券法》规定的会计师事务所</w:t>
      </w:r>
      <w:r>
        <w:rPr>
          <w:bCs/>
          <w:sz w:val="24"/>
        </w:rPr>
        <w:t>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spacing w:line="360" w:lineRule="auto"/>
        <w:ind w:firstLine="480" w:firstLineChars="200"/>
        <w:rPr>
          <w:bCs/>
          <w:sz w:val="24"/>
        </w:rPr>
      </w:pPr>
      <w:r>
        <w:rPr>
          <w:rFonts w:hint="eastAsia"/>
          <w:bCs/>
          <w:sz w:val="24"/>
        </w:rPr>
        <w:t>（七）</w:t>
      </w:r>
      <w:r>
        <w:rPr>
          <w:bCs/>
          <w:sz w:val="24"/>
        </w:rPr>
        <w:t>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15</w:t>
      </w:r>
      <w:r>
        <w:rPr>
          <w:bCs/>
          <w:sz w:val="24"/>
        </w:rPr>
        <w:t>年以上。</w:t>
      </w:r>
    </w:p>
    <w:p>
      <w:pPr>
        <w:autoSpaceDE w:val="0"/>
        <w:autoSpaceDN w:val="0"/>
        <w:adjustRightInd w:val="0"/>
        <w:spacing w:line="360" w:lineRule="auto"/>
        <w:ind w:firstLine="480" w:firstLineChars="200"/>
        <w:jc w:val="left"/>
        <w:rPr>
          <w:bCs/>
          <w:sz w:val="24"/>
          <w:szCs w:val="24"/>
        </w:rPr>
      </w:pPr>
      <w:r>
        <w:rPr>
          <w:rFonts w:hint="eastAsia"/>
          <w:bCs/>
          <w:sz w:val="24"/>
          <w:szCs w:val="24"/>
        </w:rPr>
        <w:t xml:space="preserve">八、争议解决方式； </w:t>
      </w:r>
    </w:p>
    <w:p>
      <w:pPr>
        <w:spacing w:line="360" w:lineRule="auto"/>
        <w:ind w:firstLine="480" w:firstLineChars="200"/>
        <w:rPr>
          <w:bCs/>
          <w:sz w:val="24"/>
        </w:rPr>
      </w:pPr>
      <w:r>
        <w:rPr>
          <w:rFonts w:hint="eastAsia"/>
          <w:bCs/>
          <w:sz w:val="24"/>
        </w:rPr>
        <w:t>各方当事人同意，因《基金合同》而产生的或与《基金合同》有关的一切争议，如经友好协商未能解决的，任何一方均有权提交</w:t>
      </w:r>
      <w:r>
        <w:rPr>
          <w:rFonts w:hint="eastAsia" w:ascii="宋体" w:hAnsi="宋体"/>
          <w:kern w:val="0"/>
          <w:sz w:val="24"/>
        </w:rPr>
        <w:t>深圳国际仲裁院</w:t>
      </w:r>
      <w:r>
        <w:rPr>
          <w:bCs/>
          <w:sz w:val="24"/>
        </w:rPr>
        <w:t>，根据</w:t>
      </w:r>
      <w:r>
        <w:rPr>
          <w:rFonts w:hint="eastAsia"/>
          <w:bCs/>
          <w:sz w:val="24"/>
        </w:rPr>
        <w:t>深圳国际仲裁院</w:t>
      </w:r>
      <w:r>
        <w:rPr>
          <w:bCs/>
          <w:sz w:val="24"/>
        </w:rPr>
        <w:t>当时有效的</w:t>
      </w:r>
      <w:r>
        <w:rPr>
          <w:sz w:val="24"/>
        </w:rPr>
        <w:t>仲裁</w:t>
      </w:r>
      <w:r>
        <w:rPr>
          <w:bCs/>
          <w:sz w:val="24"/>
        </w:rPr>
        <w:t>规则进行</w:t>
      </w:r>
      <w:r>
        <w:rPr>
          <w:sz w:val="24"/>
        </w:rPr>
        <w:t>仲裁</w:t>
      </w:r>
      <w:r>
        <w:rPr>
          <w:bCs/>
          <w:sz w:val="24"/>
        </w:rPr>
        <w:t>，</w:t>
      </w:r>
      <w:r>
        <w:rPr>
          <w:sz w:val="24"/>
        </w:rPr>
        <w:t>仲裁地点为</w:t>
      </w:r>
      <w:r>
        <w:rPr>
          <w:rFonts w:hint="eastAsia"/>
          <w:bCs/>
          <w:sz w:val="24"/>
        </w:rPr>
        <w:t>深圳</w:t>
      </w:r>
      <w:r>
        <w:rPr>
          <w:bCs/>
          <w:sz w:val="24"/>
        </w:rPr>
        <w:t>市，</w:t>
      </w:r>
      <w:r>
        <w:rPr>
          <w:rFonts w:hint="eastAsia"/>
          <w:bCs/>
          <w:sz w:val="24"/>
        </w:rPr>
        <w:t>仲裁裁决是终局性的并对各方当事人具有约束力，仲裁费用由败诉方承担。</w:t>
      </w:r>
    </w:p>
    <w:p>
      <w:pPr>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rFonts w:hint="eastAsia"/>
          <w:bCs/>
          <w:sz w:val="24"/>
        </w:rPr>
        <w:t>《基金合同》受中国法律管辖。</w:t>
      </w:r>
    </w:p>
    <w:p>
      <w:pPr>
        <w:autoSpaceDE w:val="0"/>
        <w:autoSpaceDN w:val="0"/>
        <w:adjustRightInd w:val="0"/>
        <w:spacing w:line="360" w:lineRule="auto"/>
        <w:ind w:firstLine="480" w:firstLineChars="200"/>
        <w:jc w:val="left"/>
        <w:rPr>
          <w:bCs/>
          <w:sz w:val="24"/>
          <w:szCs w:val="24"/>
        </w:rPr>
      </w:pPr>
      <w:r>
        <w:rPr>
          <w:rFonts w:hint="eastAsia"/>
          <w:bCs/>
          <w:sz w:val="24"/>
          <w:szCs w:val="24"/>
        </w:rPr>
        <w:t>九、基金合同存放地和投资者取得基金合同的方式。</w:t>
      </w:r>
    </w:p>
    <w:p>
      <w:pPr>
        <w:spacing w:line="360" w:lineRule="auto"/>
        <w:ind w:firstLine="480" w:firstLineChars="200"/>
        <w:rPr>
          <w:bCs/>
          <w:sz w:val="24"/>
        </w:rPr>
      </w:pPr>
      <w:r>
        <w:rPr>
          <w:rFonts w:hint="eastAsia"/>
          <w:bCs/>
          <w:sz w:val="24"/>
          <w:szCs w:val="24"/>
        </w:rPr>
        <w:t>《基金合同》可印制成册，供投资者在基金管理人、基金托管人、销售机构的办公场所和营业场所查阅。</w:t>
      </w:r>
    </w:p>
    <w:p>
      <w:pPr>
        <w:spacing w:line="360" w:lineRule="auto"/>
        <w:ind w:right="26"/>
        <w:rPr>
          <w:bCs/>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Bdr>
        <w:between w:val="none" w:color="auto" w:sz="0" w:space="0"/>
      </w:pBdr>
    </w:pPr>
    <w:r>
      <w:rPr>
        <w:rFonts w:hint="eastAsia"/>
      </w:rPr>
      <w:fldChar w:fldCharType="begin"/>
    </w:r>
    <w:r>
      <w:rPr>
        <w:rStyle w:val="22"/>
        <w:rFonts w:hint="eastAsia"/>
      </w:rPr>
      <w:instrText xml:space="preserve"> PAGE  </w:instrText>
    </w:r>
    <w:r>
      <w:rPr>
        <w:rFonts w:hint="eastAsia"/>
      </w:rPr>
      <w:fldChar w:fldCharType="separate"/>
    </w:r>
    <w:r>
      <w:rPr>
        <w:rStyle w:val="22"/>
      </w:rPr>
      <w:t>95</w:t>
    </w:r>
    <w:r>
      <w:rPr>
        <w:rFonts w:hint="eastAsia"/>
      </w:rPr>
      <w:fldChar w:fldCharType="end"/>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etween w:val="none" w:color="auto" w:sz="0" w:space="0"/>
      </w:pBdr>
    </w:pPr>
  </w:p>
  <w:p>
    <w:pPr>
      <w:pStyle w:val="13"/>
      <w:pBdr>
        <w:between w:val="none" w:color="auto" w:sz="0"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r>
      <w:rPr>
        <w:rFonts w:hint="eastAsia"/>
        <w:color w:val="000000"/>
      </w:rPr>
      <w:t>平安瑞兴一年定期开放混合型证券投资基金</w:t>
    </w:r>
    <w:r>
      <w:rPr>
        <w:rFonts w:hint="eastAsia"/>
      </w:rPr>
      <w:t xml:space="preserve">                                            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247"/>
    <w:rsid w:val="00002466"/>
    <w:rsid w:val="0000794F"/>
    <w:rsid w:val="00011309"/>
    <w:rsid w:val="00011868"/>
    <w:rsid w:val="00014599"/>
    <w:rsid w:val="00014E0E"/>
    <w:rsid w:val="000237C7"/>
    <w:rsid w:val="00024CCB"/>
    <w:rsid w:val="0003696A"/>
    <w:rsid w:val="000407B2"/>
    <w:rsid w:val="0004171D"/>
    <w:rsid w:val="000423A9"/>
    <w:rsid w:val="000425A9"/>
    <w:rsid w:val="00043B0B"/>
    <w:rsid w:val="000474D6"/>
    <w:rsid w:val="00047EC2"/>
    <w:rsid w:val="000531F8"/>
    <w:rsid w:val="00054FB5"/>
    <w:rsid w:val="00055082"/>
    <w:rsid w:val="00056B48"/>
    <w:rsid w:val="0005781A"/>
    <w:rsid w:val="00061BF1"/>
    <w:rsid w:val="00066F28"/>
    <w:rsid w:val="0007430A"/>
    <w:rsid w:val="00077DF4"/>
    <w:rsid w:val="00081C6A"/>
    <w:rsid w:val="0008331A"/>
    <w:rsid w:val="00084D44"/>
    <w:rsid w:val="0008623B"/>
    <w:rsid w:val="00090120"/>
    <w:rsid w:val="00090E5A"/>
    <w:rsid w:val="00092A90"/>
    <w:rsid w:val="00094C26"/>
    <w:rsid w:val="0009517D"/>
    <w:rsid w:val="00095457"/>
    <w:rsid w:val="00096544"/>
    <w:rsid w:val="0009786F"/>
    <w:rsid w:val="000A0D45"/>
    <w:rsid w:val="000A6ECC"/>
    <w:rsid w:val="000B638A"/>
    <w:rsid w:val="000B66CB"/>
    <w:rsid w:val="000C0D46"/>
    <w:rsid w:val="000C0EF4"/>
    <w:rsid w:val="000C2A00"/>
    <w:rsid w:val="000C4AF2"/>
    <w:rsid w:val="000C4CD6"/>
    <w:rsid w:val="000C65C1"/>
    <w:rsid w:val="000D092A"/>
    <w:rsid w:val="000D38AB"/>
    <w:rsid w:val="000D4530"/>
    <w:rsid w:val="000D5EC7"/>
    <w:rsid w:val="000D7017"/>
    <w:rsid w:val="000E191D"/>
    <w:rsid w:val="000E19FA"/>
    <w:rsid w:val="000E2D83"/>
    <w:rsid w:val="000E4AC4"/>
    <w:rsid w:val="000F2AE7"/>
    <w:rsid w:val="000F4D5D"/>
    <w:rsid w:val="000F7C74"/>
    <w:rsid w:val="00101736"/>
    <w:rsid w:val="00106D76"/>
    <w:rsid w:val="00112562"/>
    <w:rsid w:val="0011352D"/>
    <w:rsid w:val="001140A0"/>
    <w:rsid w:val="001212B5"/>
    <w:rsid w:val="001215C5"/>
    <w:rsid w:val="00121CA4"/>
    <w:rsid w:val="00122342"/>
    <w:rsid w:val="0012535D"/>
    <w:rsid w:val="00132B4F"/>
    <w:rsid w:val="00160E5B"/>
    <w:rsid w:val="00160F25"/>
    <w:rsid w:val="00161D44"/>
    <w:rsid w:val="001656B9"/>
    <w:rsid w:val="00165D58"/>
    <w:rsid w:val="00166C64"/>
    <w:rsid w:val="00167818"/>
    <w:rsid w:val="00167FBE"/>
    <w:rsid w:val="00170AEF"/>
    <w:rsid w:val="00172A27"/>
    <w:rsid w:val="00175633"/>
    <w:rsid w:val="00175EC2"/>
    <w:rsid w:val="0018333D"/>
    <w:rsid w:val="0018337C"/>
    <w:rsid w:val="00187A8A"/>
    <w:rsid w:val="001A01A6"/>
    <w:rsid w:val="001A276C"/>
    <w:rsid w:val="001A3884"/>
    <w:rsid w:val="001B2421"/>
    <w:rsid w:val="001B318A"/>
    <w:rsid w:val="001B6BFF"/>
    <w:rsid w:val="001D33CF"/>
    <w:rsid w:val="001D4C3B"/>
    <w:rsid w:val="001D6694"/>
    <w:rsid w:val="001D6E76"/>
    <w:rsid w:val="001D7F4D"/>
    <w:rsid w:val="001E05E2"/>
    <w:rsid w:val="001E786B"/>
    <w:rsid w:val="001F2F98"/>
    <w:rsid w:val="001F3041"/>
    <w:rsid w:val="001F3289"/>
    <w:rsid w:val="001F3457"/>
    <w:rsid w:val="00202502"/>
    <w:rsid w:val="002029C4"/>
    <w:rsid w:val="00205A20"/>
    <w:rsid w:val="0020682E"/>
    <w:rsid w:val="00207091"/>
    <w:rsid w:val="002114C1"/>
    <w:rsid w:val="00213312"/>
    <w:rsid w:val="00215AAA"/>
    <w:rsid w:val="00220FF2"/>
    <w:rsid w:val="002211E3"/>
    <w:rsid w:val="002215DF"/>
    <w:rsid w:val="00222948"/>
    <w:rsid w:val="002249B9"/>
    <w:rsid w:val="00225C51"/>
    <w:rsid w:val="00227C75"/>
    <w:rsid w:val="002322D6"/>
    <w:rsid w:val="0023307D"/>
    <w:rsid w:val="002340A3"/>
    <w:rsid w:val="002363CF"/>
    <w:rsid w:val="00236420"/>
    <w:rsid w:val="00240CDE"/>
    <w:rsid w:val="00240FAE"/>
    <w:rsid w:val="00241299"/>
    <w:rsid w:val="00244B42"/>
    <w:rsid w:val="00245B52"/>
    <w:rsid w:val="00246579"/>
    <w:rsid w:val="00250E00"/>
    <w:rsid w:val="002547EF"/>
    <w:rsid w:val="002647CF"/>
    <w:rsid w:val="00267D2B"/>
    <w:rsid w:val="0027337D"/>
    <w:rsid w:val="00276061"/>
    <w:rsid w:val="00280917"/>
    <w:rsid w:val="00281C10"/>
    <w:rsid w:val="00281E38"/>
    <w:rsid w:val="00282D70"/>
    <w:rsid w:val="0028644B"/>
    <w:rsid w:val="00287704"/>
    <w:rsid w:val="00291C30"/>
    <w:rsid w:val="0029367A"/>
    <w:rsid w:val="0029476A"/>
    <w:rsid w:val="002947F0"/>
    <w:rsid w:val="00295F75"/>
    <w:rsid w:val="002960E1"/>
    <w:rsid w:val="002A19A8"/>
    <w:rsid w:val="002A41D0"/>
    <w:rsid w:val="002A758B"/>
    <w:rsid w:val="002B2019"/>
    <w:rsid w:val="002B280C"/>
    <w:rsid w:val="002B2B2B"/>
    <w:rsid w:val="002B4B4F"/>
    <w:rsid w:val="002C39C3"/>
    <w:rsid w:val="002C3F06"/>
    <w:rsid w:val="002C4984"/>
    <w:rsid w:val="002D1449"/>
    <w:rsid w:val="002D2A65"/>
    <w:rsid w:val="002D3D6D"/>
    <w:rsid w:val="002E013F"/>
    <w:rsid w:val="002E1AAA"/>
    <w:rsid w:val="002E3DFE"/>
    <w:rsid w:val="002F1723"/>
    <w:rsid w:val="002F1AF7"/>
    <w:rsid w:val="002F2304"/>
    <w:rsid w:val="002F4396"/>
    <w:rsid w:val="002F611F"/>
    <w:rsid w:val="002F6C90"/>
    <w:rsid w:val="00306A93"/>
    <w:rsid w:val="003106EE"/>
    <w:rsid w:val="00310ED8"/>
    <w:rsid w:val="00311C6B"/>
    <w:rsid w:val="00313562"/>
    <w:rsid w:val="0032439C"/>
    <w:rsid w:val="0032572E"/>
    <w:rsid w:val="0032579F"/>
    <w:rsid w:val="00325CC6"/>
    <w:rsid w:val="00327FA2"/>
    <w:rsid w:val="00342B49"/>
    <w:rsid w:val="00343CA2"/>
    <w:rsid w:val="0035313A"/>
    <w:rsid w:val="003531CF"/>
    <w:rsid w:val="00360856"/>
    <w:rsid w:val="0036099F"/>
    <w:rsid w:val="00361216"/>
    <w:rsid w:val="00362769"/>
    <w:rsid w:val="00365F13"/>
    <w:rsid w:val="00366C7A"/>
    <w:rsid w:val="003706B5"/>
    <w:rsid w:val="00372DFE"/>
    <w:rsid w:val="00375305"/>
    <w:rsid w:val="00375B14"/>
    <w:rsid w:val="003775AA"/>
    <w:rsid w:val="003801AB"/>
    <w:rsid w:val="00380F9D"/>
    <w:rsid w:val="003834BE"/>
    <w:rsid w:val="0038467A"/>
    <w:rsid w:val="00387E3F"/>
    <w:rsid w:val="00395286"/>
    <w:rsid w:val="00397C24"/>
    <w:rsid w:val="003A2254"/>
    <w:rsid w:val="003A716D"/>
    <w:rsid w:val="003A71C4"/>
    <w:rsid w:val="003B0DB5"/>
    <w:rsid w:val="003B1CAB"/>
    <w:rsid w:val="003B2907"/>
    <w:rsid w:val="003B29FB"/>
    <w:rsid w:val="003B2DE9"/>
    <w:rsid w:val="003B4B28"/>
    <w:rsid w:val="003B68CA"/>
    <w:rsid w:val="003C3130"/>
    <w:rsid w:val="003C45DE"/>
    <w:rsid w:val="003C4C22"/>
    <w:rsid w:val="003C576E"/>
    <w:rsid w:val="003C61A4"/>
    <w:rsid w:val="003D16A7"/>
    <w:rsid w:val="003D47F4"/>
    <w:rsid w:val="003D5368"/>
    <w:rsid w:val="003E5D6B"/>
    <w:rsid w:val="003E600E"/>
    <w:rsid w:val="003E77EE"/>
    <w:rsid w:val="003F47B5"/>
    <w:rsid w:val="003F55FE"/>
    <w:rsid w:val="003F5B12"/>
    <w:rsid w:val="003F66FF"/>
    <w:rsid w:val="0040092C"/>
    <w:rsid w:val="004160C9"/>
    <w:rsid w:val="00416D9F"/>
    <w:rsid w:val="00420700"/>
    <w:rsid w:val="00421649"/>
    <w:rsid w:val="00421C1E"/>
    <w:rsid w:val="004250CE"/>
    <w:rsid w:val="0042576F"/>
    <w:rsid w:val="00425AE9"/>
    <w:rsid w:val="004260C2"/>
    <w:rsid w:val="004277C2"/>
    <w:rsid w:val="00430DCE"/>
    <w:rsid w:val="004339FC"/>
    <w:rsid w:val="00434369"/>
    <w:rsid w:val="0043503F"/>
    <w:rsid w:val="00436103"/>
    <w:rsid w:val="00440980"/>
    <w:rsid w:val="00441554"/>
    <w:rsid w:val="004471F9"/>
    <w:rsid w:val="00447BF7"/>
    <w:rsid w:val="00447C06"/>
    <w:rsid w:val="00450600"/>
    <w:rsid w:val="00450ACA"/>
    <w:rsid w:val="0045107F"/>
    <w:rsid w:val="00452477"/>
    <w:rsid w:val="00465068"/>
    <w:rsid w:val="004657B9"/>
    <w:rsid w:val="0046624D"/>
    <w:rsid w:val="00475BD2"/>
    <w:rsid w:val="0047635F"/>
    <w:rsid w:val="00477035"/>
    <w:rsid w:val="004812EB"/>
    <w:rsid w:val="0048307C"/>
    <w:rsid w:val="00485F9F"/>
    <w:rsid w:val="00487719"/>
    <w:rsid w:val="0049174C"/>
    <w:rsid w:val="00496EC5"/>
    <w:rsid w:val="0049732F"/>
    <w:rsid w:val="004A0C7C"/>
    <w:rsid w:val="004A51E3"/>
    <w:rsid w:val="004A79BC"/>
    <w:rsid w:val="004B1857"/>
    <w:rsid w:val="004B1A2A"/>
    <w:rsid w:val="004B291E"/>
    <w:rsid w:val="004B38BF"/>
    <w:rsid w:val="004B452C"/>
    <w:rsid w:val="004B5376"/>
    <w:rsid w:val="004B57FB"/>
    <w:rsid w:val="004B75F7"/>
    <w:rsid w:val="004C5D16"/>
    <w:rsid w:val="004C735F"/>
    <w:rsid w:val="004C76DA"/>
    <w:rsid w:val="004C7D75"/>
    <w:rsid w:val="004D3BEC"/>
    <w:rsid w:val="004D446B"/>
    <w:rsid w:val="004D47AC"/>
    <w:rsid w:val="004D5757"/>
    <w:rsid w:val="004E2BBB"/>
    <w:rsid w:val="004E5157"/>
    <w:rsid w:val="004E56D6"/>
    <w:rsid w:val="004E5D39"/>
    <w:rsid w:val="004F3E93"/>
    <w:rsid w:val="004F5178"/>
    <w:rsid w:val="005002E0"/>
    <w:rsid w:val="005009CF"/>
    <w:rsid w:val="00503103"/>
    <w:rsid w:val="0050567F"/>
    <w:rsid w:val="00505735"/>
    <w:rsid w:val="005079B0"/>
    <w:rsid w:val="0051021E"/>
    <w:rsid w:val="00510C0C"/>
    <w:rsid w:val="00513E6E"/>
    <w:rsid w:val="00517BB0"/>
    <w:rsid w:val="005217C1"/>
    <w:rsid w:val="0052196E"/>
    <w:rsid w:val="0052270E"/>
    <w:rsid w:val="0052765D"/>
    <w:rsid w:val="00530A60"/>
    <w:rsid w:val="00533527"/>
    <w:rsid w:val="00535956"/>
    <w:rsid w:val="005359F0"/>
    <w:rsid w:val="00535C09"/>
    <w:rsid w:val="00537A70"/>
    <w:rsid w:val="00537DA9"/>
    <w:rsid w:val="00541123"/>
    <w:rsid w:val="00542AB7"/>
    <w:rsid w:val="00542FCF"/>
    <w:rsid w:val="00551047"/>
    <w:rsid w:val="005525DF"/>
    <w:rsid w:val="00552B64"/>
    <w:rsid w:val="00557A53"/>
    <w:rsid w:val="00560726"/>
    <w:rsid w:val="00560C3C"/>
    <w:rsid w:val="00561868"/>
    <w:rsid w:val="0056335D"/>
    <w:rsid w:val="005644D6"/>
    <w:rsid w:val="00567E58"/>
    <w:rsid w:val="00570EBF"/>
    <w:rsid w:val="0057224B"/>
    <w:rsid w:val="0058188A"/>
    <w:rsid w:val="00586AED"/>
    <w:rsid w:val="00587518"/>
    <w:rsid w:val="00587BF8"/>
    <w:rsid w:val="0059346E"/>
    <w:rsid w:val="00593E8E"/>
    <w:rsid w:val="00594809"/>
    <w:rsid w:val="00596970"/>
    <w:rsid w:val="005975D5"/>
    <w:rsid w:val="005A1CDD"/>
    <w:rsid w:val="005A33B6"/>
    <w:rsid w:val="005A4ECB"/>
    <w:rsid w:val="005A53A6"/>
    <w:rsid w:val="005A5EF5"/>
    <w:rsid w:val="005A7827"/>
    <w:rsid w:val="005A7AE7"/>
    <w:rsid w:val="005B03C1"/>
    <w:rsid w:val="005B41B4"/>
    <w:rsid w:val="005B4219"/>
    <w:rsid w:val="005B5B03"/>
    <w:rsid w:val="005C33AA"/>
    <w:rsid w:val="005D13B5"/>
    <w:rsid w:val="005D27AF"/>
    <w:rsid w:val="005D3C45"/>
    <w:rsid w:val="005D4257"/>
    <w:rsid w:val="005D6470"/>
    <w:rsid w:val="005D679A"/>
    <w:rsid w:val="005E441D"/>
    <w:rsid w:val="005E4DDD"/>
    <w:rsid w:val="005E58D9"/>
    <w:rsid w:val="005E5EA8"/>
    <w:rsid w:val="005F0530"/>
    <w:rsid w:val="005F5B92"/>
    <w:rsid w:val="00600ED1"/>
    <w:rsid w:val="00600ED4"/>
    <w:rsid w:val="00602E4F"/>
    <w:rsid w:val="0060436B"/>
    <w:rsid w:val="00604CFC"/>
    <w:rsid w:val="00607F78"/>
    <w:rsid w:val="00613E28"/>
    <w:rsid w:val="00614455"/>
    <w:rsid w:val="00615D64"/>
    <w:rsid w:val="006215EE"/>
    <w:rsid w:val="00622031"/>
    <w:rsid w:val="0062492F"/>
    <w:rsid w:val="006271EC"/>
    <w:rsid w:val="00631092"/>
    <w:rsid w:val="00634940"/>
    <w:rsid w:val="00636EF3"/>
    <w:rsid w:val="00640B46"/>
    <w:rsid w:val="006475A6"/>
    <w:rsid w:val="00650B25"/>
    <w:rsid w:val="00656FBB"/>
    <w:rsid w:val="00662A00"/>
    <w:rsid w:val="00662C12"/>
    <w:rsid w:val="00666520"/>
    <w:rsid w:val="00671D34"/>
    <w:rsid w:val="00677C74"/>
    <w:rsid w:val="00685C9F"/>
    <w:rsid w:val="00686C10"/>
    <w:rsid w:val="006908CD"/>
    <w:rsid w:val="006918D0"/>
    <w:rsid w:val="006919D3"/>
    <w:rsid w:val="00694B59"/>
    <w:rsid w:val="0069570F"/>
    <w:rsid w:val="00695C5D"/>
    <w:rsid w:val="00695F17"/>
    <w:rsid w:val="006962AA"/>
    <w:rsid w:val="00696C4F"/>
    <w:rsid w:val="00697435"/>
    <w:rsid w:val="006A2335"/>
    <w:rsid w:val="006A4D3D"/>
    <w:rsid w:val="006A5FB6"/>
    <w:rsid w:val="006B20D0"/>
    <w:rsid w:val="006B2400"/>
    <w:rsid w:val="006B242B"/>
    <w:rsid w:val="006B33A3"/>
    <w:rsid w:val="006B749A"/>
    <w:rsid w:val="006C08C5"/>
    <w:rsid w:val="006C26B3"/>
    <w:rsid w:val="006C4A3A"/>
    <w:rsid w:val="006C59F9"/>
    <w:rsid w:val="006D0C08"/>
    <w:rsid w:val="006D2452"/>
    <w:rsid w:val="006D5602"/>
    <w:rsid w:val="006D6954"/>
    <w:rsid w:val="006E39CC"/>
    <w:rsid w:val="006E3B9D"/>
    <w:rsid w:val="006E4217"/>
    <w:rsid w:val="006E59CC"/>
    <w:rsid w:val="006E7310"/>
    <w:rsid w:val="006F190F"/>
    <w:rsid w:val="006F2CBF"/>
    <w:rsid w:val="006F4C3C"/>
    <w:rsid w:val="00702302"/>
    <w:rsid w:val="00705848"/>
    <w:rsid w:val="00707626"/>
    <w:rsid w:val="00707AAC"/>
    <w:rsid w:val="0071038D"/>
    <w:rsid w:val="007133E3"/>
    <w:rsid w:val="00715BF7"/>
    <w:rsid w:val="007166AF"/>
    <w:rsid w:val="00716C7E"/>
    <w:rsid w:val="00725A42"/>
    <w:rsid w:val="00734EA1"/>
    <w:rsid w:val="00736222"/>
    <w:rsid w:val="00737736"/>
    <w:rsid w:val="007379D5"/>
    <w:rsid w:val="00742556"/>
    <w:rsid w:val="00743AF6"/>
    <w:rsid w:val="00745308"/>
    <w:rsid w:val="00745DF3"/>
    <w:rsid w:val="00746741"/>
    <w:rsid w:val="007557D4"/>
    <w:rsid w:val="0075683F"/>
    <w:rsid w:val="00763571"/>
    <w:rsid w:val="007651E8"/>
    <w:rsid w:val="00765E61"/>
    <w:rsid w:val="007673E3"/>
    <w:rsid w:val="00770B66"/>
    <w:rsid w:val="00772230"/>
    <w:rsid w:val="007808DA"/>
    <w:rsid w:val="0078268D"/>
    <w:rsid w:val="00785710"/>
    <w:rsid w:val="00785BA5"/>
    <w:rsid w:val="00790E4E"/>
    <w:rsid w:val="007925D9"/>
    <w:rsid w:val="00797B16"/>
    <w:rsid w:val="007A336C"/>
    <w:rsid w:val="007A5058"/>
    <w:rsid w:val="007A6C07"/>
    <w:rsid w:val="007B1C19"/>
    <w:rsid w:val="007B1CB7"/>
    <w:rsid w:val="007D31C6"/>
    <w:rsid w:val="007D5E32"/>
    <w:rsid w:val="007D6F0D"/>
    <w:rsid w:val="007D7BDF"/>
    <w:rsid w:val="007E2065"/>
    <w:rsid w:val="007E41DC"/>
    <w:rsid w:val="007E49C5"/>
    <w:rsid w:val="007E5A7D"/>
    <w:rsid w:val="007E6735"/>
    <w:rsid w:val="007F24A0"/>
    <w:rsid w:val="007F2D0C"/>
    <w:rsid w:val="00801515"/>
    <w:rsid w:val="00806F15"/>
    <w:rsid w:val="00812884"/>
    <w:rsid w:val="008149AB"/>
    <w:rsid w:val="00817F03"/>
    <w:rsid w:val="0082164C"/>
    <w:rsid w:val="00824D11"/>
    <w:rsid w:val="00826F73"/>
    <w:rsid w:val="00827026"/>
    <w:rsid w:val="00832BCD"/>
    <w:rsid w:val="0083370A"/>
    <w:rsid w:val="00834740"/>
    <w:rsid w:val="00835D25"/>
    <w:rsid w:val="00837081"/>
    <w:rsid w:val="00840E56"/>
    <w:rsid w:val="00842C7C"/>
    <w:rsid w:val="00843559"/>
    <w:rsid w:val="00844648"/>
    <w:rsid w:val="0084610F"/>
    <w:rsid w:val="00847ABD"/>
    <w:rsid w:val="0085157F"/>
    <w:rsid w:val="008643E5"/>
    <w:rsid w:val="00864FAB"/>
    <w:rsid w:val="0086699F"/>
    <w:rsid w:val="008705A7"/>
    <w:rsid w:val="00875303"/>
    <w:rsid w:val="0087761D"/>
    <w:rsid w:val="00890890"/>
    <w:rsid w:val="00890994"/>
    <w:rsid w:val="00896FE6"/>
    <w:rsid w:val="008A1495"/>
    <w:rsid w:val="008A4250"/>
    <w:rsid w:val="008A6718"/>
    <w:rsid w:val="008B3058"/>
    <w:rsid w:val="008B48D9"/>
    <w:rsid w:val="008C1769"/>
    <w:rsid w:val="008C3BE9"/>
    <w:rsid w:val="008C4389"/>
    <w:rsid w:val="008D147B"/>
    <w:rsid w:val="008D192E"/>
    <w:rsid w:val="008D28E0"/>
    <w:rsid w:val="008D7DBC"/>
    <w:rsid w:val="008E4CF9"/>
    <w:rsid w:val="008E5C6A"/>
    <w:rsid w:val="008F0F07"/>
    <w:rsid w:val="008F6C59"/>
    <w:rsid w:val="008F77D5"/>
    <w:rsid w:val="008F7F55"/>
    <w:rsid w:val="00902F90"/>
    <w:rsid w:val="00903491"/>
    <w:rsid w:val="00904ACA"/>
    <w:rsid w:val="00905436"/>
    <w:rsid w:val="0090748D"/>
    <w:rsid w:val="009109F0"/>
    <w:rsid w:val="00912344"/>
    <w:rsid w:val="00914514"/>
    <w:rsid w:val="0091632F"/>
    <w:rsid w:val="0091745E"/>
    <w:rsid w:val="009217B9"/>
    <w:rsid w:val="009236B5"/>
    <w:rsid w:val="009275D8"/>
    <w:rsid w:val="00932EFE"/>
    <w:rsid w:val="00940C9F"/>
    <w:rsid w:val="00944218"/>
    <w:rsid w:val="00944633"/>
    <w:rsid w:val="0094597D"/>
    <w:rsid w:val="00946534"/>
    <w:rsid w:val="00947255"/>
    <w:rsid w:val="00947F4F"/>
    <w:rsid w:val="00950A68"/>
    <w:rsid w:val="0095204F"/>
    <w:rsid w:val="00952AD0"/>
    <w:rsid w:val="00953C30"/>
    <w:rsid w:val="009544E4"/>
    <w:rsid w:val="00954FF9"/>
    <w:rsid w:val="009565F8"/>
    <w:rsid w:val="00957135"/>
    <w:rsid w:val="00957477"/>
    <w:rsid w:val="009670E5"/>
    <w:rsid w:val="0096711E"/>
    <w:rsid w:val="0097355B"/>
    <w:rsid w:val="009749B4"/>
    <w:rsid w:val="00980080"/>
    <w:rsid w:val="009808D5"/>
    <w:rsid w:val="009813E4"/>
    <w:rsid w:val="0098406B"/>
    <w:rsid w:val="0098664E"/>
    <w:rsid w:val="00987204"/>
    <w:rsid w:val="0099015E"/>
    <w:rsid w:val="00990B7C"/>
    <w:rsid w:val="00991587"/>
    <w:rsid w:val="00993D2B"/>
    <w:rsid w:val="00995FE6"/>
    <w:rsid w:val="009A0F31"/>
    <w:rsid w:val="009A7488"/>
    <w:rsid w:val="009B2E85"/>
    <w:rsid w:val="009B39ED"/>
    <w:rsid w:val="009B50BE"/>
    <w:rsid w:val="009B61B3"/>
    <w:rsid w:val="009C2CE4"/>
    <w:rsid w:val="009E71F1"/>
    <w:rsid w:val="009F2965"/>
    <w:rsid w:val="009F58B5"/>
    <w:rsid w:val="009F74EC"/>
    <w:rsid w:val="00A003CA"/>
    <w:rsid w:val="00A00B2D"/>
    <w:rsid w:val="00A01349"/>
    <w:rsid w:val="00A023D5"/>
    <w:rsid w:val="00A02906"/>
    <w:rsid w:val="00A11816"/>
    <w:rsid w:val="00A137B8"/>
    <w:rsid w:val="00A14F6A"/>
    <w:rsid w:val="00A15929"/>
    <w:rsid w:val="00A164D4"/>
    <w:rsid w:val="00A24D7E"/>
    <w:rsid w:val="00A31258"/>
    <w:rsid w:val="00A31611"/>
    <w:rsid w:val="00A32B48"/>
    <w:rsid w:val="00A4046F"/>
    <w:rsid w:val="00A42254"/>
    <w:rsid w:val="00A45BFF"/>
    <w:rsid w:val="00A53ADB"/>
    <w:rsid w:val="00A67096"/>
    <w:rsid w:val="00A70B1A"/>
    <w:rsid w:val="00A70D30"/>
    <w:rsid w:val="00A70E18"/>
    <w:rsid w:val="00A72550"/>
    <w:rsid w:val="00A739B0"/>
    <w:rsid w:val="00A73AFC"/>
    <w:rsid w:val="00A80D02"/>
    <w:rsid w:val="00A810C5"/>
    <w:rsid w:val="00A85CCD"/>
    <w:rsid w:val="00A8716B"/>
    <w:rsid w:val="00A8730F"/>
    <w:rsid w:val="00A8760F"/>
    <w:rsid w:val="00A87D5B"/>
    <w:rsid w:val="00A913DE"/>
    <w:rsid w:val="00A919BC"/>
    <w:rsid w:val="00A924DE"/>
    <w:rsid w:val="00A95E2D"/>
    <w:rsid w:val="00A97403"/>
    <w:rsid w:val="00AA39AE"/>
    <w:rsid w:val="00AB21B2"/>
    <w:rsid w:val="00AB740E"/>
    <w:rsid w:val="00AC0231"/>
    <w:rsid w:val="00AC156D"/>
    <w:rsid w:val="00AC1966"/>
    <w:rsid w:val="00AC212F"/>
    <w:rsid w:val="00AC4F0A"/>
    <w:rsid w:val="00AC7D9C"/>
    <w:rsid w:val="00AC7F3D"/>
    <w:rsid w:val="00AD3A42"/>
    <w:rsid w:val="00AD41C5"/>
    <w:rsid w:val="00AD63BE"/>
    <w:rsid w:val="00AE044D"/>
    <w:rsid w:val="00AE25C0"/>
    <w:rsid w:val="00AE4C1E"/>
    <w:rsid w:val="00AE6D95"/>
    <w:rsid w:val="00AF1853"/>
    <w:rsid w:val="00AF1AA3"/>
    <w:rsid w:val="00AF6917"/>
    <w:rsid w:val="00AF7FD7"/>
    <w:rsid w:val="00B0092E"/>
    <w:rsid w:val="00B03784"/>
    <w:rsid w:val="00B054B4"/>
    <w:rsid w:val="00B11FC7"/>
    <w:rsid w:val="00B121C7"/>
    <w:rsid w:val="00B242DA"/>
    <w:rsid w:val="00B2540D"/>
    <w:rsid w:val="00B272E4"/>
    <w:rsid w:val="00B3180E"/>
    <w:rsid w:val="00B33837"/>
    <w:rsid w:val="00B342DA"/>
    <w:rsid w:val="00B36D1E"/>
    <w:rsid w:val="00B438BD"/>
    <w:rsid w:val="00B518C9"/>
    <w:rsid w:val="00B54364"/>
    <w:rsid w:val="00B54B5C"/>
    <w:rsid w:val="00B5641A"/>
    <w:rsid w:val="00B56F48"/>
    <w:rsid w:val="00B5733D"/>
    <w:rsid w:val="00B6129C"/>
    <w:rsid w:val="00B63A72"/>
    <w:rsid w:val="00B71CAB"/>
    <w:rsid w:val="00B735E0"/>
    <w:rsid w:val="00B76EF6"/>
    <w:rsid w:val="00B80882"/>
    <w:rsid w:val="00B81934"/>
    <w:rsid w:val="00B83643"/>
    <w:rsid w:val="00BA1D9A"/>
    <w:rsid w:val="00BA2045"/>
    <w:rsid w:val="00BA27EB"/>
    <w:rsid w:val="00BA2FAE"/>
    <w:rsid w:val="00BA5F4D"/>
    <w:rsid w:val="00BC45CD"/>
    <w:rsid w:val="00BC7B12"/>
    <w:rsid w:val="00BD00D2"/>
    <w:rsid w:val="00BD0B92"/>
    <w:rsid w:val="00BD40A2"/>
    <w:rsid w:val="00BE4C96"/>
    <w:rsid w:val="00BE54D0"/>
    <w:rsid w:val="00BF22D4"/>
    <w:rsid w:val="00BF28AB"/>
    <w:rsid w:val="00BF53AA"/>
    <w:rsid w:val="00BF6913"/>
    <w:rsid w:val="00BF7290"/>
    <w:rsid w:val="00C056E6"/>
    <w:rsid w:val="00C076B0"/>
    <w:rsid w:val="00C14C08"/>
    <w:rsid w:val="00C14D37"/>
    <w:rsid w:val="00C22CB1"/>
    <w:rsid w:val="00C276E1"/>
    <w:rsid w:val="00C35AAF"/>
    <w:rsid w:val="00C37A75"/>
    <w:rsid w:val="00C37BBE"/>
    <w:rsid w:val="00C413F5"/>
    <w:rsid w:val="00C426C0"/>
    <w:rsid w:val="00C44951"/>
    <w:rsid w:val="00C460F4"/>
    <w:rsid w:val="00C6099B"/>
    <w:rsid w:val="00C62409"/>
    <w:rsid w:val="00C70D31"/>
    <w:rsid w:val="00C70E50"/>
    <w:rsid w:val="00C74AD7"/>
    <w:rsid w:val="00C776F1"/>
    <w:rsid w:val="00C81ACF"/>
    <w:rsid w:val="00C85624"/>
    <w:rsid w:val="00C865FD"/>
    <w:rsid w:val="00C92111"/>
    <w:rsid w:val="00C93162"/>
    <w:rsid w:val="00C93751"/>
    <w:rsid w:val="00C942D2"/>
    <w:rsid w:val="00C96072"/>
    <w:rsid w:val="00CA0B44"/>
    <w:rsid w:val="00CA162D"/>
    <w:rsid w:val="00CA17F9"/>
    <w:rsid w:val="00CA4597"/>
    <w:rsid w:val="00CA5879"/>
    <w:rsid w:val="00CA5BE4"/>
    <w:rsid w:val="00CA68D5"/>
    <w:rsid w:val="00CB288B"/>
    <w:rsid w:val="00CB6BC4"/>
    <w:rsid w:val="00CC0EEC"/>
    <w:rsid w:val="00CC1060"/>
    <w:rsid w:val="00CC26A6"/>
    <w:rsid w:val="00CC70EF"/>
    <w:rsid w:val="00CD0CED"/>
    <w:rsid w:val="00CD29E2"/>
    <w:rsid w:val="00CD594A"/>
    <w:rsid w:val="00CE08B3"/>
    <w:rsid w:val="00CE3E1E"/>
    <w:rsid w:val="00CE4F92"/>
    <w:rsid w:val="00CE67FE"/>
    <w:rsid w:val="00CE7A46"/>
    <w:rsid w:val="00CF023C"/>
    <w:rsid w:val="00CF09A6"/>
    <w:rsid w:val="00CF2D0E"/>
    <w:rsid w:val="00D00150"/>
    <w:rsid w:val="00D00B93"/>
    <w:rsid w:val="00D00FFC"/>
    <w:rsid w:val="00D02399"/>
    <w:rsid w:val="00D045BB"/>
    <w:rsid w:val="00D067FE"/>
    <w:rsid w:val="00D06BCE"/>
    <w:rsid w:val="00D12379"/>
    <w:rsid w:val="00D134D2"/>
    <w:rsid w:val="00D13FC0"/>
    <w:rsid w:val="00D1690B"/>
    <w:rsid w:val="00D174ED"/>
    <w:rsid w:val="00D20D09"/>
    <w:rsid w:val="00D27D10"/>
    <w:rsid w:val="00D30C0E"/>
    <w:rsid w:val="00D3373E"/>
    <w:rsid w:val="00D361AD"/>
    <w:rsid w:val="00D36E5F"/>
    <w:rsid w:val="00D4095F"/>
    <w:rsid w:val="00D429C1"/>
    <w:rsid w:val="00D4381A"/>
    <w:rsid w:val="00D43CC3"/>
    <w:rsid w:val="00D50866"/>
    <w:rsid w:val="00D524CF"/>
    <w:rsid w:val="00D54C0C"/>
    <w:rsid w:val="00D601D6"/>
    <w:rsid w:val="00D65E29"/>
    <w:rsid w:val="00D6722A"/>
    <w:rsid w:val="00D70336"/>
    <w:rsid w:val="00D7163C"/>
    <w:rsid w:val="00D73756"/>
    <w:rsid w:val="00D74B37"/>
    <w:rsid w:val="00D75A85"/>
    <w:rsid w:val="00D80BCB"/>
    <w:rsid w:val="00D91041"/>
    <w:rsid w:val="00D91997"/>
    <w:rsid w:val="00D92264"/>
    <w:rsid w:val="00D93713"/>
    <w:rsid w:val="00D95D7A"/>
    <w:rsid w:val="00D96A83"/>
    <w:rsid w:val="00DA0163"/>
    <w:rsid w:val="00DB2347"/>
    <w:rsid w:val="00DB246D"/>
    <w:rsid w:val="00DB30A2"/>
    <w:rsid w:val="00DC0B4E"/>
    <w:rsid w:val="00DC248D"/>
    <w:rsid w:val="00DC2618"/>
    <w:rsid w:val="00DC41F3"/>
    <w:rsid w:val="00DC51ED"/>
    <w:rsid w:val="00DC70E5"/>
    <w:rsid w:val="00DC7B0A"/>
    <w:rsid w:val="00DC7B1A"/>
    <w:rsid w:val="00DD3C0E"/>
    <w:rsid w:val="00DD61FC"/>
    <w:rsid w:val="00DD7A46"/>
    <w:rsid w:val="00DE2911"/>
    <w:rsid w:val="00DE516E"/>
    <w:rsid w:val="00DE5178"/>
    <w:rsid w:val="00DF11F3"/>
    <w:rsid w:val="00DF1ADF"/>
    <w:rsid w:val="00DF208D"/>
    <w:rsid w:val="00DF275A"/>
    <w:rsid w:val="00DF3F10"/>
    <w:rsid w:val="00DF42E1"/>
    <w:rsid w:val="00E01A18"/>
    <w:rsid w:val="00E0311A"/>
    <w:rsid w:val="00E03D46"/>
    <w:rsid w:val="00E11E27"/>
    <w:rsid w:val="00E20007"/>
    <w:rsid w:val="00E220FF"/>
    <w:rsid w:val="00E24065"/>
    <w:rsid w:val="00E243E5"/>
    <w:rsid w:val="00E268A6"/>
    <w:rsid w:val="00E26C3A"/>
    <w:rsid w:val="00E30959"/>
    <w:rsid w:val="00E33750"/>
    <w:rsid w:val="00E337DD"/>
    <w:rsid w:val="00E40C49"/>
    <w:rsid w:val="00E4276A"/>
    <w:rsid w:val="00E42EC1"/>
    <w:rsid w:val="00E4390B"/>
    <w:rsid w:val="00E5193E"/>
    <w:rsid w:val="00E531A6"/>
    <w:rsid w:val="00E54772"/>
    <w:rsid w:val="00E61488"/>
    <w:rsid w:val="00E61E49"/>
    <w:rsid w:val="00E62330"/>
    <w:rsid w:val="00E640D2"/>
    <w:rsid w:val="00E64EC1"/>
    <w:rsid w:val="00E64EF1"/>
    <w:rsid w:val="00E65B20"/>
    <w:rsid w:val="00E66B9F"/>
    <w:rsid w:val="00E74E2A"/>
    <w:rsid w:val="00E77AB9"/>
    <w:rsid w:val="00E805AB"/>
    <w:rsid w:val="00E84877"/>
    <w:rsid w:val="00E905FF"/>
    <w:rsid w:val="00E90E19"/>
    <w:rsid w:val="00E967A8"/>
    <w:rsid w:val="00E97AA2"/>
    <w:rsid w:val="00EA73C3"/>
    <w:rsid w:val="00EB11A2"/>
    <w:rsid w:val="00EB1259"/>
    <w:rsid w:val="00EC4D72"/>
    <w:rsid w:val="00EC78E9"/>
    <w:rsid w:val="00ED0A82"/>
    <w:rsid w:val="00ED24AD"/>
    <w:rsid w:val="00ED3386"/>
    <w:rsid w:val="00ED648A"/>
    <w:rsid w:val="00EE34A5"/>
    <w:rsid w:val="00EE380C"/>
    <w:rsid w:val="00EE6FA6"/>
    <w:rsid w:val="00EF2B9E"/>
    <w:rsid w:val="00EF6A44"/>
    <w:rsid w:val="00EF7BCF"/>
    <w:rsid w:val="00EF7DDF"/>
    <w:rsid w:val="00F00718"/>
    <w:rsid w:val="00F01BAC"/>
    <w:rsid w:val="00F0424F"/>
    <w:rsid w:val="00F06E47"/>
    <w:rsid w:val="00F113CF"/>
    <w:rsid w:val="00F13632"/>
    <w:rsid w:val="00F156F1"/>
    <w:rsid w:val="00F31E43"/>
    <w:rsid w:val="00F40C7B"/>
    <w:rsid w:val="00F426A1"/>
    <w:rsid w:val="00F52CF2"/>
    <w:rsid w:val="00F52D7C"/>
    <w:rsid w:val="00F541BB"/>
    <w:rsid w:val="00F600BB"/>
    <w:rsid w:val="00F605A7"/>
    <w:rsid w:val="00F61654"/>
    <w:rsid w:val="00F64F53"/>
    <w:rsid w:val="00F65514"/>
    <w:rsid w:val="00F71757"/>
    <w:rsid w:val="00F7233D"/>
    <w:rsid w:val="00F96FA4"/>
    <w:rsid w:val="00FA0DF4"/>
    <w:rsid w:val="00FA15A5"/>
    <w:rsid w:val="00FB76BC"/>
    <w:rsid w:val="00FC2F6B"/>
    <w:rsid w:val="00FC339F"/>
    <w:rsid w:val="00FC4097"/>
    <w:rsid w:val="00FC42DC"/>
    <w:rsid w:val="00FC6DAE"/>
    <w:rsid w:val="00FD03D2"/>
    <w:rsid w:val="00FD3B86"/>
    <w:rsid w:val="00FD6798"/>
    <w:rsid w:val="00FE07D2"/>
    <w:rsid w:val="00FE7100"/>
    <w:rsid w:val="00FE7395"/>
    <w:rsid w:val="00FF0BF9"/>
    <w:rsid w:val="00FF2A49"/>
    <w:rsid w:val="00FF3BA2"/>
    <w:rsid w:val="00FF5725"/>
    <w:rsid w:val="00FF628C"/>
    <w:rsid w:val="337E7B4C"/>
    <w:rsid w:val="7E20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6"/>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uiPriority w:val="0"/>
    <w:pPr>
      <w:shd w:val="clear" w:color="auto" w:fill="000080"/>
    </w:pPr>
  </w:style>
  <w:style w:type="paragraph" w:styleId="7">
    <w:name w:val="annotation text"/>
    <w:basedOn w:val="1"/>
    <w:link w:val="44"/>
    <w:uiPriority w:val="0"/>
    <w:pPr>
      <w:jc w:val="left"/>
    </w:pPr>
    <w:rPr>
      <w:lang w:val="zh-CN" w:eastAsia="zh-CN"/>
    </w:rPr>
  </w:style>
  <w:style w:type="paragraph" w:styleId="8">
    <w:name w:val="Body Text"/>
    <w:basedOn w:val="1"/>
    <w:link w:val="26"/>
    <w:uiPriority w:val="0"/>
    <w:pPr>
      <w:autoSpaceDE w:val="0"/>
      <w:autoSpaceDN w:val="0"/>
      <w:adjustRightInd w:val="0"/>
      <w:spacing w:line="360" w:lineRule="auto"/>
      <w:jc w:val="left"/>
    </w:pPr>
    <w:rPr>
      <w:rFonts w:ascii="宋体"/>
      <w:kern w:val="0"/>
      <w:sz w:val="20"/>
      <w:lang w:val="zh-CN" w:eastAsia="zh-CN"/>
    </w:rPr>
  </w:style>
  <w:style w:type="paragraph" w:styleId="9">
    <w:name w:val="toc 3"/>
    <w:basedOn w:val="1"/>
    <w:next w:val="1"/>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Title"/>
    <w:basedOn w:val="1"/>
    <w:next w:val="1"/>
    <w:link w:val="28"/>
    <w:qFormat/>
    <w:uiPriority w:val="0"/>
    <w:pPr>
      <w:spacing w:before="240" w:after="60"/>
      <w:jc w:val="center"/>
      <w:outlineLvl w:val="0"/>
    </w:pPr>
    <w:rPr>
      <w:rFonts w:ascii="Cambria" w:hAnsi="Cambria"/>
      <w:b/>
      <w:sz w:val="32"/>
      <w:lang w:val="zh-CN" w:eastAsia="zh-CN"/>
    </w:rPr>
  </w:style>
  <w:style w:type="paragraph" w:styleId="19">
    <w:name w:val="annotation subject"/>
    <w:basedOn w:val="7"/>
    <w:next w:val="7"/>
    <w:uiPriority w:val="0"/>
    <w:rPr>
      <w:b/>
    </w:rPr>
  </w:style>
  <w:style w:type="character" w:styleId="22">
    <w:name w:val="page number"/>
    <w:basedOn w:val="21"/>
    <w:uiPriority w:val="0"/>
  </w:style>
  <w:style w:type="character" w:styleId="23">
    <w:name w:val="Hyperlink"/>
    <w:uiPriority w:val="99"/>
    <w:rPr>
      <w:color w:val="0000FF"/>
      <w:u w:val="single"/>
    </w:rPr>
  </w:style>
  <w:style w:type="character" w:styleId="24">
    <w:name w:val="annotation reference"/>
    <w:qFormat/>
    <w:uiPriority w:val="0"/>
    <w:rPr>
      <w:sz w:val="21"/>
    </w:rPr>
  </w:style>
  <w:style w:type="character" w:styleId="25">
    <w:name w:val="footnote reference"/>
    <w:uiPriority w:val="0"/>
    <w:rPr>
      <w:vertAlign w:val="superscript"/>
    </w:rPr>
  </w:style>
  <w:style w:type="character" w:customStyle="1" w:styleId="26">
    <w:name w:val="正文文本 字符"/>
    <w:link w:val="8"/>
    <w:qFormat/>
    <w:uiPriority w:val="0"/>
    <w:rPr>
      <w:rFonts w:ascii="宋体"/>
      <w:lang w:val="zh-CN" w:eastAsia="zh-CN"/>
    </w:rPr>
  </w:style>
  <w:style w:type="character" w:customStyle="1" w:styleId="27">
    <w:name w:val="unnamed11"/>
    <w:qFormat/>
    <w:uiPriority w:val="0"/>
    <w:rPr>
      <w:rFonts w:hint="eastAsia" w:ascii="宋体" w:hAnsi="宋体" w:eastAsia="宋体"/>
      <w:sz w:val="18"/>
    </w:rPr>
  </w:style>
  <w:style w:type="character" w:customStyle="1" w:styleId="28">
    <w:name w:val="标题 字符"/>
    <w:link w:val="18"/>
    <w:uiPriority w:val="0"/>
    <w:rPr>
      <w:rFonts w:ascii="Cambria" w:hAnsi="Cambria"/>
      <w:b/>
      <w:kern w:val="2"/>
      <w:sz w:val="32"/>
    </w:rPr>
  </w:style>
  <w:style w:type="character" w:customStyle="1" w:styleId="29">
    <w:name w:val="页眉 字符"/>
    <w:link w:val="14"/>
    <w:uiPriority w:val="0"/>
    <w:rPr>
      <w:rFonts w:eastAsia="宋体"/>
      <w:kern w:val="2"/>
      <w:sz w:val="18"/>
      <w:lang w:val="en-US" w:eastAsia="zh-CN"/>
    </w:rPr>
  </w:style>
  <w:style w:type="character" w:customStyle="1" w:styleId="30">
    <w:name w:val="read"/>
    <w:basedOn w:val="21"/>
    <w:uiPriority w:val="0"/>
  </w:style>
  <w:style w:type="paragraph" w:customStyle="1" w:styleId="31">
    <w:name w:val="Char Char"/>
    <w:basedOn w:val="1"/>
    <w:qFormat/>
    <w:uiPriority w:val="0"/>
  </w:style>
  <w:style w:type="paragraph" w:customStyle="1" w:styleId="32">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unnamed1"/>
    <w:basedOn w:val="1"/>
    <w:uiPriority w:val="0"/>
    <w:pPr>
      <w:spacing w:before="60" w:after="60"/>
      <w:ind w:left="15" w:right="15"/>
    </w:pPr>
    <w:rPr>
      <w:rFonts w:hint="eastAsia" w:ascii="宋体" w:hAnsi="宋体"/>
      <w:color w:val="000000"/>
      <w:sz w:val="18"/>
      <w:szCs w:val="18"/>
    </w:rPr>
  </w:style>
  <w:style w:type="paragraph" w:customStyle="1" w:styleId="34">
    <w:name w:val="List_bullet"/>
    <w:basedOn w:val="1"/>
    <w:uiPriority w:val="0"/>
    <w:pPr>
      <w:widowControl/>
      <w:tabs>
        <w:tab w:val="left" w:pos="360"/>
      </w:tabs>
      <w:ind w:left="360" w:hanging="360"/>
      <w:jc w:val="left"/>
    </w:pPr>
    <w:rPr>
      <w:kern w:val="0"/>
      <w:sz w:val="24"/>
    </w:rPr>
  </w:style>
  <w:style w:type="paragraph" w:customStyle="1" w:styleId="35">
    <w:name w:val="msonormal1"/>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正文"/>
    <w:basedOn w:val="1"/>
    <w:uiPriority w:val="0"/>
    <w:pPr>
      <w:spacing w:after="78" w:afterLines="25" w:line="360" w:lineRule="auto"/>
      <w:ind w:firstLine="200" w:firstLineChars="200"/>
    </w:pPr>
    <w:rPr>
      <w:sz w:val="24"/>
    </w:rPr>
  </w:style>
  <w:style w:type="paragraph" w:customStyle="1" w:styleId="37">
    <w:name w:val="Char"/>
    <w:basedOn w:val="1"/>
    <w:uiPriority w:val="0"/>
  </w:style>
  <w:style w:type="paragraph" w:customStyle="1" w:styleId="38">
    <w:name w:val="Char1"/>
    <w:basedOn w:val="1"/>
    <w:qFormat/>
    <w:uiPriority w:val="0"/>
  </w:style>
  <w:style w:type="paragraph" w:customStyle="1" w:styleId="39">
    <w:name w:val="Char Char Char"/>
    <w:basedOn w:val="1"/>
    <w:qFormat/>
    <w:uiPriority w:val="0"/>
  </w:style>
  <w:style w:type="paragraph" w:customStyle="1" w:styleId="40">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1">
    <w:name w:val="Char Char Char Char"/>
    <w:basedOn w:val="1"/>
    <w:qFormat/>
    <w:uiPriority w:val="0"/>
    <w:pPr>
      <w:tabs>
        <w:tab w:val="left" w:pos="360"/>
      </w:tabs>
    </w:pPr>
  </w:style>
  <w:style w:type="paragraph" w:customStyle="1" w:styleId="42">
    <w:name w:val="Char Char1"/>
    <w:basedOn w:val="1"/>
    <w:qFormat/>
    <w:uiPriority w:val="0"/>
  </w:style>
  <w:style w:type="paragraph" w:customStyle="1" w:styleId="43">
    <w:name w:val="正文所"/>
    <w:basedOn w:val="1"/>
    <w:qFormat/>
    <w:uiPriority w:val="0"/>
    <w:pPr>
      <w:spacing w:line="360" w:lineRule="auto"/>
      <w:ind w:firstLine="420" w:firstLineChars="200"/>
    </w:pPr>
    <w:rPr>
      <w:rFonts w:ascii="宋体"/>
    </w:rPr>
  </w:style>
  <w:style w:type="character" w:customStyle="1" w:styleId="44">
    <w:name w:val="批注文字 字符"/>
    <w:link w:val="7"/>
    <w:qFormat/>
    <w:uiPriority w:val="0"/>
    <w:rPr>
      <w:kern w:val="2"/>
      <w:sz w:val="21"/>
    </w:rPr>
  </w:style>
  <w:style w:type="paragraph" w:customStyle="1" w:styleId="45">
    <w:name w:val="Revision"/>
    <w:hidden/>
    <w:semiHidden/>
    <w:qFormat/>
    <w:uiPriority w:val="99"/>
    <w:rPr>
      <w:rFonts w:ascii="Times New Roman" w:hAnsi="Times New Roman" w:eastAsia="宋体" w:cs="Times New Roman"/>
      <w:kern w:val="2"/>
      <w:sz w:val="21"/>
      <w:lang w:val="en-US" w:eastAsia="zh-CN" w:bidi="ar-SA"/>
    </w:rPr>
  </w:style>
  <w:style w:type="character" w:customStyle="1" w:styleId="46">
    <w:name w:val="标题 1 字符"/>
    <w:basedOn w:val="21"/>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8AF4B-20B3-46D9-91A4-E1A5BD9D3673}">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109</Pages>
  <Words>11222</Words>
  <Characters>63970</Characters>
  <Lines>533</Lines>
  <Paragraphs>150</Paragraphs>
  <TotalTime>3</TotalTime>
  <ScaleCrop>false</ScaleCrop>
  <LinksUpToDate>false</LinksUpToDate>
  <CharactersWithSpaces>75042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2020-08-23T03:18:00Z</dcterms:created>
  <dc:creator>源泰</dc:creator>
  <cp:lastModifiedBy>张干</cp:lastModifiedBy>
  <cp:lastPrinted>2020-06-03T08:51:00Z</cp:lastPrinted>
  <dcterms:modified xsi:type="dcterms:W3CDTF">2021-01-04T08:18:03Z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