
<file path=[Content_Types].xml><?xml version="1.0" encoding="utf-8"?>
<Types xmlns="http://schemas.openxmlformats.org/package/2006/content-types">
  <Default Extension="xml" ContentType="application/xml"/>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1680"/>
        <w:rPr>
          <w:rFonts w:ascii="仿宋_GB2312" w:eastAsia="仿宋_GB2312" w:cs="仿宋_GB2312"/>
          <w:sz w:val="24"/>
        </w:rPr>
      </w:pPr>
      <w:r>
        <w:rPr>
          <w:rFonts w:hint="eastAsia" w:ascii="宋体" w:cs="宋体"/>
          <w:sz w:val="24"/>
        </w:rPr>
        <w:t>PSBC〔2025〕ZH10003</w:t>
      </w:r>
    </w:p>
    <w:p>
      <w:pPr>
        <w:spacing w:line="500" w:lineRule="exact"/>
        <w:jc w:val="center"/>
        <w:rPr>
          <w:rFonts w:ascii="仿宋_GB2312" w:eastAsia="仿宋_GB2312" w:cs="仿宋_GB2312"/>
          <w:sz w:val="24"/>
        </w:rPr>
      </w:pPr>
    </w:p>
    <w:p>
      <w:pPr>
        <w:spacing w:line="500" w:lineRule="exact"/>
        <w:jc w:val="center"/>
        <w:rPr>
          <w:rFonts w:ascii="仿宋_GB2312" w:eastAsia="仿宋_GB2312" w:cs="仿宋_GB2312"/>
          <w:sz w:val="24"/>
        </w:rPr>
      </w:pPr>
    </w:p>
    <w:p>
      <w:pPr>
        <w:spacing w:line="500" w:lineRule="exact"/>
        <w:jc w:val="center"/>
        <w:rPr>
          <w:rFonts w:ascii="仿宋_GB2312" w:eastAsia="仿宋_GB2312" w:cs="仿宋_GB2312"/>
          <w:sz w:val="24"/>
        </w:rPr>
      </w:pPr>
    </w:p>
    <w:p>
      <w:pPr>
        <w:spacing w:line="500" w:lineRule="exact"/>
        <w:jc w:val="center"/>
        <w:rPr>
          <w:rFonts w:ascii="仿宋_GB2312" w:eastAsia="仿宋_GB2312" w:cs="仿宋_GB2312"/>
          <w:sz w:val="24"/>
        </w:rPr>
      </w:pPr>
    </w:p>
    <w:p>
      <w:pPr>
        <w:spacing w:line="500" w:lineRule="exact"/>
        <w:jc w:val="center"/>
        <w:rPr>
          <w:rFonts w:ascii="仿宋_GB2312" w:eastAsia="仿宋_GB2312" w:cs="仿宋_GB2312"/>
          <w:sz w:val="24"/>
        </w:rPr>
      </w:pPr>
    </w:p>
    <w:p>
      <w:pPr>
        <w:spacing w:line="500" w:lineRule="exact"/>
        <w:jc w:val="center"/>
        <w:rPr>
          <w:rFonts w:ascii="仿宋_GB2312" w:eastAsia="仿宋_GB2312" w:cs="仿宋_GB2312"/>
          <w:sz w:val="24"/>
        </w:rPr>
      </w:pPr>
    </w:p>
    <w:p>
      <w:pPr>
        <w:spacing w:line="500" w:lineRule="exact"/>
        <w:jc w:val="center"/>
        <w:rPr>
          <w:rFonts w:ascii="仿宋_GB2312" w:eastAsia="仿宋_GB2312" w:cs="仿宋_GB2312"/>
          <w:sz w:val="24"/>
        </w:rPr>
      </w:pPr>
    </w:p>
    <w:p>
      <w:pPr>
        <w:spacing w:line="600" w:lineRule="exact"/>
        <w:jc w:val="center"/>
        <w:outlineLvl w:val="0"/>
        <w:rPr>
          <w:rFonts w:ascii="方正小标宋简体" w:eastAsia="方正小标宋简体" w:cs="黑体"/>
          <w:b/>
          <w:sz w:val="36"/>
        </w:rPr>
      </w:pPr>
    </w:p>
    <w:p>
      <w:pPr>
        <w:spacing w:line="600" w:lineRule="exact"/>
        <w:jc w:val="center"/>
        <w:outlineLvl w:val="0"/>
        <w:rPr>
          <w:rFonts w:ascii="方正小标宋简体" w:eastAsia="方正小标宋简体" w:cs="黑体"/>
          <w:b/>
          <w:sz w:val="44"/>
          <w:szCs w:val="44"/>
          <w:lang w:val="zh-CN"/>
        </w:rPr>
      </w:pPr>
      <w:r>
        <w:rPr>
          <w:rFonts w:hint="eastAsia" w:ascii="方正小标宋简体" w:eastAsia="方正小标宋简体" w:cs="黑体"/>
          <w:b/>
          <w:sz w:val="44"/>
          <w:szCs w:val="44"/>
          <w:lang w:val="zh-CN"/>
        </w:rPr>
        <w:t>中国邮政储蓄银行</w:t>
      </w:r>
    </w:p>
    <w:p>
      <w:pPr>
        <w:spacing w:line="600" w:lineRule="exact"/>
        <w:jc w:val="center"/>
        <w:outlineLvl w:val="0"/>
        <w:rPr>
          <w:rFonts w:ascii="方正小标宋简体" w:eastAsia="方正小标宋简体" w:cs="黑体"/>
          <w:b/>
          <w:sz w:val="44"/>
          <w:szCs w:val="44"/>
        </w:rPr>
      </w:pPr>
      <w:r>
        <w:rPr>
          <w:rFonts w:hint="eastAsia" w:ascii="方正小标宋简体" w:eastAsia="方正小标宋简体" w:cs="黑体"/>
          <w:b/>
          <w:sz w:val="44"/>
          <w:szCs w:val="44"/>
          <w:lang w:val="zh-CN"/>
        </w:rPr>
        <w:t>信用卡现金分期业务协议</w:t>
      </w:r>
    </w:p>
    <w:p>
      <w:pPr>
        <w:spacing w:line="500" w:lineRule="exact"/>
        <w:jc w:val="center"/>
        <w:rPr>
          <w:rFonts w:ascii="仿宋_GB2312" w:eastAsia="仿宋_GB2312" w:cs="仿宋_GB2312"/>
          <w:sz w:val="24"/>
        </w:rPr>
      </w:pPr>
    </w:p>
    <w:p>
      <w:pPr>
        <w:spacing w:line="500" w:lineRule="exact"/>
        <w:jc w:val="center"/>
        <w:rPr>
          <w:rFonts w:ascii="仿宋_GB2312" w:eastAsia="仿宋_GB2312" w:cs="仿宋_GB2312"/>
          <w:sz w:val="24"/>
        </w:rPr>
      </w:pPr>
    </w:p>
    <w:p>
      <w:pPr>
        <w:spacing w:line="500" w:lineRule="exact"/>
        <w:jc w:val="center"/>
        <w:rPr>
          <w:rFonts w:ascii="仿宋_GB2312" w:eastAsia="仿宋_GB2312" w:cs="仿宋_GB2312"/>
          <w:sz w:val="24"/>
        </w:rPr>
      </w:pPr>
    </w:p>
    <w:p>
      <w:pPr>
        <w:spacing w:line="500" w:lineRule="exact"/>
        <w:jc w:val="center"/>
        <w:rPr>
          <w:rFonts w:ascii="仿宋_GB2312" w:eastAsia="仿宋_GB2312" w:cs="仿宋_GB2312"/>
          <w:sz w:val="24"/>
        </w:rPr>
      </w:pPr>
    </w:p>
    <w:p>
      <w:pPr>
        <w:spacing w:line="500" w:lineRule="exact"/>
        <w:jc w:val="center"/>
        <w:rPr>
          <w:rFonts w:ascii="仿宋_GB2312" w:eastAsia="仿宋_GB2312" w:cs="仿宋_GB2312"/>
          <w:sz w:val="24"/>
        </w:rPr>
      </w:pPr>
    </w:p>
    <w:p>
      <w:pPr>
        <w:spacing w:line="500" w:lineRule="exact"/>
        <w:jc w:val="center"/>
        <w:rPr>
          <w:rFonts w:ascii="仿宋_GB2312" w:eastAsia="仿宋_GB2312" w:cs="仿宋_GB2312"/>
          <w:sz w:val="24"/>
        </w:rPr>
      </w:pPr>
    </w:p>
    <w:p>
      <w:pPr>
        <w:spacing w:line="500" w:lineRule="exact"/>
        <w:jc w:val="center"/>
        <w:rPr>
          <w:rFonts w:ascii="仿宋_GB2312" w:eastAsia="仿宋_GB2312" w:cs="仿宋_GB2312"/>
          <w:sz w:val="24"/>
        </w:rPr>
      </w:pPr>
    </w:p>
    <w:p>
      <w:pPr>
        <w:spacing w:line="500" w:lineRule="exact"/>
        <w:jc w:val="center"/>
        <w:rPr>
          <w:rFonts w:ascii="仿宋_GB2312" w:eastAsia="仿宋_GB2312" w:cs="仿宋_GB2312"/>
          <w:sz w:val="24"/>
        </w:rPr>
      </w:pPr>
    </w:p>
    <w:p>
      <w:pPr>
        <w:spacing w:line="500" w:lineRule="exact"/>
        <w:jc w:val="center"/>
        <w:rPr>
          <w:rFonts w:ascii="仿宋_GB2312" w:eastAsia="仿宋_GB2312" w:cs="仿宋_GB2312"/>
          <w:sz w:val="24"/>
        </w:rPr>
      </w:pPr>
      <w:r>
        <w:rPr>
          <w:rFonts w:ascii="宋体"/>
          <w:lang w:val="zh-CN" w:eastAsia="zh-CN"/>
        </w:rPr>
        <w:pict>
          <v:shape id="图片 3" o:spid="_x0000_s2052" o:spt="75" alt="E:\邮储银行标识-横版.jpg邮储银行标识-横版" type="#_x0000_t75" style="position:absolute;left:0pt;margin-left:196.55pt;margin-top:10.1pt;height:53.85pt;width:181.4pt;mso-position-horizontal-relative:page;mso-wrap-distance-bottom:0pt;mso-wrap-distance-top:0pt;z-index:1024;mso-width-relative:page;mso-height-relative:page;" filled="f" o:preferrelative="t" stroked="f" coordsize="21600,21600">
            <v:path/>
            <v:fill on="f" focussize="0,0"/>
            <v:stroke on="f" joinstyle="miter"/>
            <v:imagedata r:id="rId8" cropleft="9566f" croptop="25813f" cropright="9698f" cropbottom="26005f" o:title=""/>
            <o:lock v:ext="edit" aspectratio="f"/>
            <w10:wrap type="topAndBottom"/>
          </v:shape>
        </w:pict>
      </w:r>
    </w:p>
    <w:p>
      <w:pPr>
        <w:spacing w:line="500" w:lineRule="exact"/>
        <w:jc w:val="center"/>
        <w:rPr>
          <w:rFonts w:ascii="仿宋_GB2312" w:eastAsia="仿宋_GB2312" w:cs="仿宋_GB2312"/>
          <w:sz w:val="24"/>
        </w:rPr>
      </w:pPr>
    </w:p>
    <w:p>
      <w:pPr>
        <w:spacing w:line="500" w:lineRule="exact"/>
        <w:jc w:val="center"/>
        <w:rPr>
          <w:rFonts w:ascii="仿宋_GB2312" w:eastAsia="仿宋_GB2312" w:cs="仿宋_GB2312"/>
          <w:sz w:val="24"/>
        </w:rPr>
      </w:pPr>
    </w:p>
    <w:p>
      <w:pPr>
        <w:spacing w:line="500" w:lineRule="exact"/>
        <w:jc w:val="both"/>
        <w:rPr>
          <w:rFonts w:ascii="仿宋_GB2312" w:eastAsia="仿宋_GB2312" w:cs="仿宋_GB2312"/>
          <w:sz w:val="24"/>
        </w:rPr>
      </w:pPr>
    </w:p>
    <w:p>
      <w:pPr>
        <w:spacing w:line="500" w:lineRule="exact"/>
        <w:jc w:val="center"/>
        <w:rPr>
          <w:rFonts w:ascii="仿宋_GB2312" w:eastAsia="仿宋_GB2312" w:cs="仿宋_GB2312"/>
          <w:sz w:val="24"/>
        </w:rPr>
        <w:sectPr>
          <w:headerReference r:id="rId3" w:type="first"/>
          <w:footerReference r:id="rId5" w:type="first"/>
          <w:footerReference r:id="rId4" w:type="default"/>
          <w:pgSz w:w="11906" w:h="16838"/>
          <w:pgMar w:top="1440" w:right="1800" w:bottom="1440" w:left="1800" w:header="851" w:footer="992" w:gutter="0"/>
          <w:cols w:space="720" w:num="1"/>
          <w:docGrid w:type="lines" w:linePitch="312" w:charSpace="0"/>
        </w:sectPr>
      </w:pPr>
    </w:p>
    <w:p>
      <w:pPr>
        <w:autoSpaceDE w:val="0"/>
        <w:adjustRightInd w:val="0"/>
        <w:snapToGrid w:val="0"/>
        <w:spacing w:line="360" w:lineRule="exact"/>
        <w:ind w:firstLine="482" w:firstLineChars="200"/>
        <w:rPr>
          <w:rFonts w:ascii="黑体" w:eastAsia="黑体" w:cs="黑体"/>
          <w:b/>
          <w:sz w:val="24"/>
        </w:rPr>
      </w:pPr>
      <w:r>
        <w:rPr>
          <w:rFonts w:hint="eastAsia" w:ascii="黑体" w:eastAsia="黑体" w:cs="黑体"/>
          <w:b/>
          <w:sz w:val="24"/>
        </w:rPr>
        <w:t>客户姓名：</w:t>
      </w:r>
    </w:p>
    <w:p>
      <w:pPr>
        <w:autoSpaceDE w:val="0"/>
        <w:adjustRightInd w:val="0"/>
        <w:snapToGrid w:val="0"/>
        <w:spacing w:line="360" w:lineRule="exact"/>
        <w:ind w:firstLine="482" w:firstLineChars="200"/>
        <w:rPr>
          <w:rFonts w:ascii="黑体" w:eastAsia="黑体" w:cs="黑体"/>
          <w:b/>
          <w:sz w:val="24"/>
        </w:rPr>
      </w:pPr>
      <w:r>
        <w:rPr>
          <w:rFonts w:hint="eastAsia" w:ascii="黑体" w:eastAsia="黑体" w:cs="黑体"/>
          <w:b/>
          <w:sz w:val="24"/>
        </w:rPr>
        <w:t>办理时间：</w:t>
      </w:r>
    </w:p>
    <w:p>
      <w:pPr>
        <w:autoSpaceDE w:val="0"/>
        <w:adjustRightInd w:val="0"/>
        <w:snapToGrid w:val="0"/>
        <w:ind w:firstLine="482" w:firstLineChars="200"/>
        <w:rPr>
          <w:rFonts w:ascii="黑体" w:eastAsia="黑体" w:cs="黑体"/>
          <w:b/>
          <w:sz w:val="24"/>
        </w:rPr>
      </w:pPr>
      <w:r>
        <w:rPr>
          <w:rFonts w:hint="eastAsia" w:ascii="黑体" w:eastAsia="黑体" w:cs="黑体"/>
          <w:b/>
          <w:sz w:val="24"/>
        </w:rPr>
        <w:t>分期金额：</w:t>
      </w:r>
    </w:p>
    <w:p>
      <w:pPr>
        <w:autoSpaceDE w:val="0"/>
        <w:adjustRightInd w:val="0"/>
        <w:snapToGrid w:val="0"/>
        <w:spacing w:line="360" w:lineRule="exact"/>
        <w:ind w:firstLine="482" w:firstLineChars="200"/>
        <w:rPr>
          <w:rFonts w:ascii="黑体" w:eastAsia="黑体" w:cs="黑体"/>
          <w:b/>
          <w:sz w:val="24"/>
        </w:rPr>
      </w:pPr>
      <w:r>
        <w:rPr>
          <w:rFonts w:hint="eastAsia" w:ascii="黑体" w:eastAsia="黑体" w:cs="黑体"/>
          <w:b/>
          <w:sz w:val="24"/>
        </w:rPr>
        <w:t>分期期数：</w:t>
      </w:r>
    </w:p>
    <w:p>
      <w:pPr>
        <w:autoSpaceDE w:val="0"/>
        <w:adjustRightInd w:val="0"/>
        <w:snapToGrid w:val="0"/>
        <w:spacing w:line="360" w:lineRule="exact"/>
        <w:ind w:firstLine="482" w:firstLineChars="200"/>
        <w:rPr>
          <w:rFonts w:ascii="黑体" w:eastAsia="黑体" w:cs="黑体"/>
          <w:b/>
          <w:sz w:val="24"/>
        </w:rPr>
      </w:pPr>
      <w:r>
        <w:rPr>
          <w:rFonts w:hint="eastAsia" w:ascii="黑体" w:eastAsia="黑体" w:cs="黑体"/>
          <w:b/>
          <w:sz w:val="24"/>
        </w:rPr>
        <w:t>每期应还本金：</w:t>
      </w:r>
    </w:p>
    <w:p>
      <w:pPr>
        <w:autoSpaceDE w:val="0"/>
        <w:adjustRightInd w:val="0"/>
        <w:snapToGrid w:val="0"/>
        <w:spacing w:line="360" w:lineRule="exact"/>
        <w:ind w:firstLine="482" w:firstLineChars="200"/>
        <w:rPr>
          <w:rFonts w:ascii="黑体" w:eastAsia="黑体" w:cs="黑体"/>
          <w:b/>
          <w:sz w:val="24"/>
        </w:rPr>
      </w:pPr>
      <w:r>
        <w:rPr>
          <w:rFonts w:hint="eastAsia" w:ascii="黑体" w:eastAsia="黑体" w:cs="黑体"/>
          <w:b/>
          <w:sz w:val="24"/>
        </w:rPr>
        <w:t>每期分期利息：</w:t>
      </w:r>
    </w:p>
    <w:p>
      <w:pPr>
        <w:autoSpaceDE w:val="0"/>
        <w:adjustRightInd w:val="0"/>
        <w:snapToGrid w:val="0"/>
        <w:spacing w:line="360" w:lineRule="exact"/>
        <w:ind w:firstLine="482" w:firstLineChars="200"/>
        <w:rPr>
          <w:rFonts w:ascii="黑体" w:eastAsia="黑体" w:cs="黑体"/>
          <w:b/>
          <w:sz w:val="24"/>
        </w:rPr>
      </w:pPr>
      <w:r>
        <w:rPr>
          <w:rFonts w:hint="eastAsia" w:ascii="黑体" w:eastAsia="黑体" w:cs="黑体"/>
          <w:b/>
          <w:sz w:val="24"/>
        </w:rPr>
        <w:t>每期还款总额：</w:t>
      </w:r>
    </w:p>
    <w:p>
      <w:pPr>
        <w:autoSpaceDE w:val="0"/>
        <w:adjustRightInd w:val="0"/>
        <w:snapToGrid w:val="0"/>
        <w:spacing w:line="360" w:lineRule="exact"/>
        <w:ind w:firstLine="482" w:firstLineChars="200"/>
        <w:rPr>
          <w:rFonts w:ascii="黑体" w:eastAsia="黑体" w:cs="黑体"/>
          <w:b/>
          <w:sz w:val="24"/>
        </w:rPr>
      </w:pPr>
      <w:r>
        <w:rPr>
          <w:rFonts w:hint="eastAsia" w:ascii="黑体" w:eastAsia="黑体" w:cs="黑体"/>
          <w:b/>
          <w:sz w:val="24"/>
        </w:rPr>
        <w:t>近似年化利率（单利）：</w:t>
      </w:r>
    </w:p>
    <w:p>
      <w:pPr>
        <w:autoSpaceDE w:val="0"/>
        <w:adjustRightInd w:val="0"/>
        <w:snapToGrid w:val="0"/>
        <w:spacing w:line="360" w:lineRule="exact"/>
        <w:ind w:firstLine="482" w:firstLineChars="200"/>
        <w:rPr>
          <w:rFonts w:ascii="黑体" w:eastAsia="黑体" w:cs="黑体"/>
          <w:b/>
          <w:sz w:val="24"/>
        </w:rPr>
      </w:pPr>
      <w:r>
        <w:rPr>
          <w:rFonts w:hint="eastAsia" w:ascii="黑体" w:eastAsia="黑体" w:cs="黑体"/>
          <w:b/>
          <w:sz w:val="24"/>
        </w:rPr>
        <w:t>尊敬的客户：为了维护您的权益，在接受本协议之前，请您仔细阅读本协议的全部内容（特别是含有黑体字标题或黑体字文字的条款），注意有关息费项目、资金用途、还款说明等内容，如果您无法准确理解本协议任何条款的含义，请不要进行确认及后续操作。您可向发卡行咨询，或者咨询您的律师和有关专业人士。如需进行业务咨询和投诉，请拨打邮储银行信用卡客服热线：40088-95580。您通过手机银行、信用卡APP等点击确认或通过客服等方式申请现金分期业务，即表示您同意接受本协议的全部约定内容。</w:t>
      </w:r>
    </w:p>
    <w:p>
      <w:pPr>
        <w:spacing w:line="360" w:lineRule="exact"/>
        <w:ind w:firstLine="480" w:firstLineChars="200"/>
        <w:rPr>
          <w:rFonts w:ascii="宋体" w:cs="宋体"/>
          <w:kern w:val="0"/>
          <w:sz w:val="24"/>
        </w:rPr>
      </w:pPr>
    </w:p>
    <w:p>
      <w:pPr>
        <w:spacing w:line="360" w:lineRule="exact"/>
        <w:ind w:firstLine="480" w:firstLineChars="200"/>
        <w:rPr>
          <w:rFonts w:ascii="宋体" w:cs="宋体"/>
          <w:kern w:val="0"/>
          <w:sz w:val="24"/>
        </w:rPr>
      </w:pPr>
      <w:r>
        <w:rPr>
          <w:rFonts w:hint="eastAsia" w:ascii="宋体" w:cs="宋体"/>
          <w:kern w:val="0"/>
          <w:sz w:val="24"/>
        </w:rPr>
        <w:t>甲方：</w:t>
      </w:r>
      <w:r>
        <w:rPr>
          <w:rFonts w:hint="eastAsia" w:ascii="宋体" w:cs="宋体"/>
          <w:kern w:val="0"/>
          <w:sz w:val="24"/>
          <w:u w:val="single"/>
        </w:rPr>
        <w:t>客户姓名</w:t>
      </w:r>
    </w:p>
    <w:p>
      <w:pPr>
        <w:spacing w:line="360" w:lineRule="exact"/>
        <w:ind w:firstLine="480" w:firstLineChars="200"/>
        <w:rPr>
          <w:rFonts w:ascii="宋体" w:cs="宋体"/>
          <w:kern w:val="0"/>
          <w:sz w:val="24"/>
        </w:rPr>
      </w:pPr>
      <w:r>
        <w:rPr>
          <w:rFonts w:hint="eastAsia" w:ascii="宋体" w:cs="宋体"/>
          <w:kern w:val="0"/>
          <w:sz w:val="24"/>
        </w:rPr>
        <w:t>乙方：中国邮政储蓄银行（含其分支机构）</w:t>
      </w:r>
    </w:p>
    <w:p>
      <w:pPr>
        <w:pStyle w:val="5"/>
        <w:spacing w:line="360" w:lineRule="exact"/>
        <w:ind w:firstLine="482" w:firstLineChars="200"/>
        <w:rPr>
          <w:rFonts w:ascii="黑体" w:eastAsia="黑体" w:cs="黑体"/>
          <w:bCs/>
          <w:sz w:val="24"/>
        </w:rPr>
      </w:pPr>
      <w:r>
        <w:rPr>
          <w:rFonts w:hint="eastAsia" w:ascii="黑体" w:eastAsia="黑体" w:cs="黑体"/>
          <w:bCs/>
          <w:sz w:val="24"/>
        </w:rPr>
        <w:t>第一条 业务要素</w:t>
      </w:r>
    </w:p>
    <w:p>
      <w:pPr>
        <w:spacing w:line="360" w:lineRule="exact"/>
        <w:ind w:firstLine="422" w:firstLineChars="200"/>
        <w:rPr>
          <w:rFonts w:ascii="黑体" w:eastAsia="黑体" w:cs="黑体"/>
          <w:b/>
          <w:bCs/>
          <w:szCs w:val="21"/>
        </w:rPr>
      </w:pPr>
      <w:r>
        <w:rPr>
          <w:rFonts w:hint="eastAsia" w:ascii="黑体" w:eastAsia="黑体" w:cs="黑体"/>
          <w:b/>
          <w:bCs/>
          <w:kern w:val="0"/>
          <w:szCs w:val="21"/>
        </w:rPr>
        <w:t>1.1信用卡现金分期业务（以下简称现金分期）可能产生的所有息费项目包含分期本金、分期利息，提前还款产生的提前还款违约金（</w:t>
      </w:r>
      <w:r>
        <w:rPr>
          <w:rFonts w:hint="eastAsia" w:ascii="黑体" w:eastAsia="黑体" w:cs="黑体"/>
          <w:b/>
          <w:bCs/>
          <w:szCs w:val="21"/>
        </w:rPr>
        <w:t>已分摊的分期利息不予退还，</w:t>
      </w:r>
      <w:r>
        <w:rPr>
          <w:rFonts w:hint="eastAsia" w:ascii="黑体" w:eastAsia="黑体" w:cs="黑体"/>
          <w:b/>
          <w:bCs/>
          <w:kern w:val="0"/>
          <w:szCs w:val="21"/>
        </w:rPr>
        <w:t>尚未分摊的分期利息不再收取并将收取</w:t>
      </w:r>
      <w:r>
        <w:rPr>
          <w:rFonts w:hint="eastAsia" w:ascii="黑体" w:eastAsia="黑体" w:cs="黑体"/>
          <w:b/>
          <w:bCs/>
          <w:szCs w:val="21"/>
        </w:rPr>
        <w:t>提前还款违约金，收费标准为剩余未摊本金的3%</w:t>
      </w:r>
      <w:r>
        <w:rPr>
          <w:rFonts w:hint="eastAsia" w:ascii="黑体" w:eastAsia="黑体" w:cs="黑体"/>
          <w:kern w:val="0"/>
          <w:szCs w:val="21"/>
        </w:rPr>
        <w:t>）</w:t>
      </w:r>
      <w:r>
        <w:rPr>
          <w:rFonts w:hint="eastAsia" w:ascii="黑体" w:eastAsia="黑体" w:cs="黑体"/>
          <w:b/>
          <w:bCs/>
          <w:kern w:val="0"/>
          <w:szCs w:val="21"/>
        </w:rPr>
        <w:t>，逾期导致的违约金、透支利息</w:t>
      </w:r>
      <w:r>
        <w:rPr>
          <w:rFonts w:hint="eastAsia" w:ascii="宋体" w:cs="宋体"/>
          <w:kern w:val="0"/>
          <w:szCs w:val="21"/>
        </w:rPr>
        <w:t>（</w:t>
      </w:r>
      <w:r>
        <w:rPr>
          <w:rFonts w:hint="eastAsia" w:ascii="宋体" w:cs="宋体"/>
          <w:szCs w:val="21"/>
        </w:rPr>
        <w:t>如所办理分期业务应还款金额有逾期违约情形产生，按照《中国邮政储蓄银行信用卡（个人卡）领用合约》计收透支利息及违约金，详见本协议第六条</w:t>
      </w:r>
      <w:r>
        <w:rPr>
          <w:rFonts w:hint="eastAsia" w:ascii="宋体" w:cs="宋体"/>
          <w:kern w:val="0"/>
          <w:szCs w:val="21"/>
        </w:rPr>
        <w:t>），</w:t>
      </w:r>
      <w:r>
        <w:rPr>
          <w:rFonts w:hint="eastAsia" w:ascii="黑体" w:eastAsia="黑体" w:cs="黑体"/>
          <w:b/>
          <w:bCs/>
          <w:kern w:val="0"/>
          <w:szCs w:val="21"/>
        </w:rPr>
        <w:t>可能因为诉讼产生的诉讼费、律师费、处置费等。</w:t>
      </w:r>
    </w:p>
    <w:p>
      <w:pPr>
        <w:snapToGrid w:val="0"/>
        <w:spacing w:line="500" w:lineRule="exact"/>
        <w:ind w:firstLine="420" w:firstLineChars="200"/>
        <w:rPr>
          <w:rFonts w:ascii="黑体" w:eastAsia="黑体" w:cs="黑体"/>
          <w:b/>
          <w:bCs/>
          <w:szCs w:val="21"/>
        </w:rPr>
      </w:pPr>
      <w:r>
        <w:pict>
          <v:shape id="Object 4" o:spid="_x0000_s2050" o:spt="75" type="#_x0000_t75" style="position:absolute;left:0pt;margin-left:139.85pt;margin-top:29.55pt;height:28.25pt;width:81.5pt;mso-wrap-distance-bottom:0pt;mso-wrap-distance-left:9pt;mso-wrap-distance-right:9pt;mso-wrap-distance-top:0pt;z-index:1024;mso-width-relative:page;mso-height-relative:page;" filled="f" o:preferrelative="t" stroked="f" coordsize="21600,21600">
            <v:path/>
            <v:fill on="f" focussize="0,0"/>
            <v:stroke on="f" joinstyle="miter"/>
            <v:imagedata r:id="rId9" o:title=""/>
            <o:lock v:ext="edit" aspectratio="t"/>
            <w10:wrap type="square"/>
          </v:shape>
        </w:pict>
      </w:r>
      <w:r>
        <w:rPr>
          <w:rFonts w:hint="eastAsia" w:ascii="黑体" w:eastAsia="黑体" w:cs="黑体"/>
          <w:b/>
          <w:bCs/>
          <w:szCs w:val="21"/>
        </w:rPr>
        <w:t>1.2年化利率不超过18.25%，年化利率是根据持卡人现金流按单利计算的年化内含报酬率，计算公式：分期本金=</w:t>
      </w:r>
    </w:p>
    <w:p>
      <w:pPr>
        <w:snapToGrid w:val="0"/>
        <w:rPr>
          <w:rFonts w:ascii="黑体" w:eastAsia="黑体" w:cs="黑体"/>
          <w:b/>
          <w:bCs/>
          <w:szCs w:val="21"/>
        </w:rPr>
      </w:pPr>
    </w:p>
    <w:p>
      <w:pPr>
        <w:snapToGrid w:val="0"/>
        <w:spacing w:line="360" w:lineRule="exact"/>
        <w:ind w:firstLine="422" w:firstLineChars="200"/>
        <w:rPr>
          <w:rFonts w:ascii="宋体" w:cs="宋体"/>
          <w:szCs w:val="21"/>
        </w:rPr>
      </w:pPr>
      <w:r>
        <w:rPr>
          <w:rFonts w:hint="eastAsia" w:ascii="黑体" w:eastAsia="黑体" w:cs="黑体"/>
          <w:b/>
          <w:bCs/>
          <w:szCs w:val="21"/>
        </w:rPr>
        <w:t>其中n为分期期数，由此计算得出的IRR即为年化利率（单利），</w:t>
      </w:r>
      <w:r>
        <w:rPr>
          <w:rFonts w:hint="eastAsia" w:ascii="宋体" w:cs="宋体"/>
          <w:szCs w:val="21"/>
        </w:rPr>
        <w:t>因选择办理的分期产品与账单日间隔、每月实际天数、提前还款、合作商户等不同情况而有差异。</w:t>
      </w:r>
    </w:p>
    <w:p>
      <w:pPr>
        <w:snapToGrid w:val="0"/>
        <w:spacing w:line="360" w:lineRule="exact"/>
        <w:ind w:firstLine="420" w:firstLineChars="200"/>
        <w:rPr>
          <w:rFonts w:ascii="宋体" w:cs="宋体"/>
          <w:szCs w:val="21"/>
        </w:rPr>
      </w:pPr>
      <w:r>
        <w:rPr>
          <w:rFonts w:hint="eastAsia" w:ascii="宋体" w:cs="宋体"/>
          <w:szCs w:val="21"/>
        </w:rPr>
        <w:t>1.3息费计算方式：分期利息扣收方式为分期收取，按照“等本等息”方式收取，每月偿还。</w:t>
      </w:r>
    </w:p>
    <w:p>
      <w:pPr>
        <w:spacing w:line="360" w:lineRule="exact"/>
        <w:ind w:firstLine="420" w:firstLineChars="200"/>
        <w:rPr>
          <w:rFonts w:ascii="宋体" w:cs="宋体"/>
          <w:szCs w:val="21"/>
        </w:rPr>
      </w:pPr>
      <w:r>
        <w:rPr>
          <w:rFonts w:hint="eastAsia" w:ascii="宋体" w:cs="宋体"/>
          <w:szCs w:val="21"/>
        </w:rPr>
        <w:t>1.4甲方拥有的现金分期信用额度由乙方评定，乙方有权根据甲方的资信状况及用卡情况调整或取消现金分期信用额度。</w:t>
      </w:r>
    </w:p>
    <w:p>
      <w:pPr>
        <w:spacing w:line="360" w:lineRule="exact"/>
        <w:ind w:firstLine="420" w:firstLineChars="200"/>
        <w:rPr>
          <w:rFonts w:ascii="宋体" w:cs="宋体"/>
          <w:szCs w:val="21"/>
        </w:rPr>
      </w:pPr>
      <w:r>
        <w:rPr>
          <w:rFonts w:hint="eastAsia" w:ascii="宋体" w:cs="宋体"/>
          <w:szCs w:val="21"/>
        </w:rPr>
        <w:t>1.5现金分期仅限人民币币种，申请金额最低500元，最高不超过甲方的现金分期可用额度。</w:t>
      </w:r>
    </w:p>
    <w:p>
      <w:pPr>
        <w:spacing w:line="360" w:lineRule="exact"/>
        <w:ind w:firstLine="420" w:firstLineChars="200"/>
        <w:rPr>
          <w:rFonts w:ascii="宋体" w:cs="宋体"/>
          <w:szCs w:val="21"/>
        </w:rPr>
      </w:pPr>
      <w:r>
        <w:rPr>
          <w:rFonts w:hint="eastAsia" w:ascii="宋体" w:cs="宋体"/>
          <w:szCs w:val="21"/>
        </w:rPr>
        <w:t>1.6乙方为甲方提供1、3期、6期、9期、12期、18期、24期等多种期数选择。</w:t>
      </w:r>
    </w:p>
    <w:p>
      <w:pPr>
        <w:snapToGrid w:val="0"/>
        <w:spacing w:line="360" w:lineRule="exact"/>
        <w:ind w:firstLine="420" w:firstLineChars="200"/>
        <w:rPr>
          <w:rFonts w:ascii="宋体" w:cs="宋体"/>
          <w:szCs w:val="21"/>
        </w:rPr>
      </w:pPr>
      <w:r>
        <w:rPr>
          <w:rFonts w:hint="eastAsia" w:ascii="宋体" w:cs="宋体"/>
          <w:szCs w:val="21"/>
        </w:rPr>
        <w:t>1.7具体利率标准、现金分期优惠措施及其生效和终止日期、可选分期期数以甲方申请现金分期时的乙方官方网站（www.psbc.com）信用卡频道公告为准。</w:t>
      </w:r>
    </w:p>
    <w:p>
      <w:pPr>
        <w:pStyle w:val="5"/>
        <w:spacing w:line="360" w:lineRule="exact"/>
        <w:ind w:firstLine="482" w:firstLineChars="200"/>
        <w:rPr>
          <w:rFonts w:ascii="黑体" w:eastAsia="黑体" w:cs="黑体"/>
          <w:bCs/>
          <w:sz w:val="24"/>
        </w:rPr>
      </w:pPr>
      <w:r>
        <w:rPr>
          <w:rFonts w:hint="eastAsia" w:ascii="黑体" w:eastAsia="黑体" w:cs="黑体"/>
          <w:bCs/>
          <w:sz w:val="24"/>
        </w:rPr>
        <w:t>第二条 业务介绍</w:t>
      </w:r>
    </w:p>
    <w:p>
      <w:pPr>
        <w:spacing w:line="360" w:lineRule="exact"/>
        <w:ind w:firstLine="420" w:firstLineChars="200"/>
        <w:rPr>
          <w:rFonts w:ascii="宋体" w:cs="宋体"/>
          <w:szCs w:val="21"/>
        </w:rPr>
      </w:pPr>
      <w:r>
        <w:rPr>
          <w:rFonts w:hint="eastAsia" w:ascii="宋体" w:cs="宋体"/>
          <w:szCs w:val="21"/>
        </w:rPr>
        <w:t>2.1现金分期，是指甲方向乙方申请用其信用卡进行现金转账，并平均分成若干期偿还，经乙方核准后将资金划至甲方在乙方开立的本人本行借记卡账户，由甲方在约定期限内按月还款，并支付一定分期利息的业务。</w:t>
      </w:r>
    </w:p>
    <w:p>
      <w:pPr>
        <w:spacing w:line="360" w:lineRule="exact"/>
        <w:ind w:firstLine="422" w:firstLineChars="200"/>
        <w:rPr>
          <w:rFonts w:ascii="黑体" w:eastAsia="黑体"/>
          <w:b/>
          <w:bCs/>
          <w:szCs w:val="21"/>
        </w:rPr>
      </w:pPr>
      <w:r>
        <w:rPr>
          <w:rFonts w:hint="eastAsia" w:ascii="黑体" w:eastAsia="黑体"/>
          <w:b/>
          <w:bCs/>
          <w:szCs w:val="21"/>
        </w:rPr>
        <w:t>2.2现金分期仅限邮储银行信用卡主卡持卡人申请，附属卡、分期卡、金叶卡不可申请。</w:t>
      </w:r>
    </w:p>
    <w:p>
      <w:pPr>
        <w:pStyle w:val="5"/>
        <w:spacing w:line="360" w:lineRule="exact"/>
        <w:ind w:firstLine="482" w:firstLineChars="200"/>
        <w:rPr>
          <w:rFonts w:ascii="黑体" w:eastAsia="黑体" w:cs="黑体"/>
          <w:bCs/>
          <w:sz w:val="24"/>
        </w:rPr>
      </w:pPr>
      <w:r>
        <w:rPr>
          <w:rFonts w:hint="eastAsia" w:ascii="黑体" w:eastAsia="黑体" w:cs="黑体"/>
          <w:bCs/>
          <w:sz w:val="24"/>
        </w:rPr>
        <w:t>第三条 资金用途</w:t>
      </w:r>
    </w:p>
    <w:p>
      <w:pPr>
        <w:spacing w:line="360" w:lineRule="exact"/>
        <w:ind w:firstLine="422" w:firstLineChars="200"/>
        <w:rPr>
          <w:rFonts w:ascii="黑体" w:eastAsia="黑体"/>
          <w:b/>
          <w:bCs/>
          <w:szCs w:val="21"/>
        </w:rPr>
      </w:pPr>
      <w:r>
        <w:rPr>
          <w:rFonts w:hint="eastAsia" w:ascii="黑体" w:eastAsia="黑体"/>
          <w:b/>
          <w:bCs/>
          <w:szCs w:val="21"/>
        </w:rPr>
        <w:t>3.1现金分期转出款项仅能用于家庭日常消费（包括但不限于购车、装修、教育、娱乐、旅游、婚庆等），不得用于</w:t>
      </w:r>
      <w:r>
        <w:rPr>
          <w:rFonts w:hint="eastAsia" w:ascii="黑体" w:eastAsia="黑体"/>
          <w:b/>
          <w:bCs/>
          <w:szCs w:val="21"/>
          <w:lang w:val="zh-CN"/>
        </w:rPr>
        <w:t>个人投资理财</w:t>
      </w:r>
      <w:r>
        <w:rPr>
          <w:rFonts w:hint="eastAsia" w:ascii="黑体" w:eastAsia="黑体"/>
          <w:b/>
          <w:bCs/>
          <w:szCs w:val="21"/>
        </w:rPr>
        <w:t>（包括但不限于股票、期货等）</w:t>
      </w:r>
      <w:r>
        <w:rPr>
          <w:rFonts w:hint="eastAsia" w:ascii="黑体" w:eastAsia="黑体"/>
          <w:b/>
          <w:bCs/>
          <w:szCs w:val="21"/>
          <w:lang w:val="zh-CN"/>
        </w:rPr>
        <w:t>、偿还信用卡、偿还其他贷款或债务、经营资金周转、房地产</w:t>
      </w:r>
      <w:r>
        <w:rPr>
          <w:rFonts w:hint="eastAsia" w:ascii="黑体" w:eastAsia="黑体"/>
          <w:b/>
          <w:bCs/>
          <w:szCs w:val="21"/>
        </w:rPr>
        <w:t>等用途。</w:t>
      </w:r>
    </w:p>
    <w:p>
      <w:pPr>
        <w:spacing w:line="360" w:lineRule="exact"/>
        <w:ind w:firstLine="422" w:firstLineChars="200"/>
        <w:rPr>
          <w:rFonts w:ascii="黑体" w:eastAsia="黑体"/>
          <w:b/>
          <w:bCs/>
          <w:szCs w:val="21"/>
        </w:rPr>
      </w:pPr>
      <w:r>
        <w:rPr>
          <w:rFonts w:hint="eastAsia" w:ascii="黑体" w:eastAsia="黑体"/>
          <w:b/>
          <w:bCs/>
          <w:szCs w:val="21"/>
        </w:rPr>
        <w:t>3.2甲方须保留与申请用途相符合的交易凭证、合同或发票，并有义务根据乙方要求随时提供上述证明材料原件。</w:t>
      </w:r>
    </w:p>
    <w:p>
      <w:pPr>
        <w:pStyle w:val="5"/>
        <w:spacing w:line="360" w:lineRule="exact"/>
        <w:ind w:firstLine="482" w:firstLineChars="200"/>
        <w:rPr>
          <w:rFonts w:ascii="黑体" w:eastAsia="黑体" w:cs="黑体"/>
          <w:bCs/>
          <w:sz w:val="24"/>
        </w:rPr>
      </w:pPr>
      <w:r>
        <w:rPr>
          <w:rFonts w:hint="eastAsia" w:ascii="黑体" w:eastAsia="黑体" w:cs="黑体"/>
          <w:bCs/>
          <w:sz w:val="24"/>
        </w:rPr>
        <w:t>第四条 业务申请</w:t>
      </w:r>
    </w:p>
    <w:p>
      <w:pPr>
        <w:spacing w:line="360" w:lineRule="exact"/>
        <w:ind w:firstLine="420" w:firstLineChars="200"/>
        <w:rPr>
          <w:rFonts w:ascii="宋体" w:cs="宋体"/>
          <w:szCs w:val="21"/>
        </w:rPr>
      </w:pPr>
      <w:r>
        <w:rPr>
          <w:rFonts w:hint="eastAsia" w:ascii="宋体" w:cs="宋体"/>
          <w:szCs w:val="21"/>
        </w:rPr>
        <w:t>4.1甲方可通过乙方客服热线40088-95580或通过手机银行、信用卡APP、微信公众号等渠道申请现金分期。</w:t>
      </w:r>
    </w:p>
    <w:p>
      <w:pPr>
        <w:spacing w:line="360" w:lineRule="exact"/>
        <w:ind w:firstLine="420" w:firstLineChars="200"/>
        <w:rPr>
          <w:rFonts w:ascii="宋体" w:cs="宋体"/>
          <w:szCs w:val="21"/>
        </w:rPr>
      </w:pPr>
      <w:r>
        <w:rPr>
          <w:rFonts w:hint="eastAsia" w:ascii="宋体" w:cs="宋体"/>
          <w:szCs w:val="21"/>
        </w:rPr>
        <w:t>4.2甲方所申请的分期金额、期数以乙方系统内记载的经甲方确认的申请信息为准，包括但不限于电话录音记录、纸质记录、电子渠道申请确认记录等。</w:t>
      </w:r>
    </w:p>
    <w:p>
      <w:pPr>
        <w:spacing w:line="360" w:lineRule="exact"/>
        <w:ind w:firstLine="422" w:firstLineChars="200"/>
        <w:rPr>
          <w:rFonts w:ascii="黑体" w:eastAsia="黑体"/>
          <w:b/>
          <w:bCs/>
          <w:szCs w:val="21"/>
        </w:rPr>
      </w:pPr>
      <w:r>
        <w:rPr>
          <w:rFonts w:hint="eastAsia" w:ascii="黑体" w:eastAsia="黑体" w:cs="黑体"/>
          <w:b/>
          <w:bCs/>
          <w:kern w:val="0"/>
          <w:szCs w:val="21"/>
        </w:rPr>
        <w:t>4.3</w:t>
      </w:r>
      <w:r>
        <w:rPr>
          <w:rFonts w:hint="eastAsia" w:ascii="黑体" w:eastAsia="黑体"/>
          <w:b/>
          <w:bCs/>
          <w:szCs w:val="21"/>
        </w:rPr>
        <w:t>甲方申请的现金分期一经审核通过，不得撤销，不得对分期金额和分期期数进行更改。</w:t>
      </w:r>
    </w:p>
    <w:p>
      <w:pPr>
        <w:pStyle w:val="2"/>
        <w:spacing w:line="360" w:lineRule="exact"/>
        <w:ind w:firstLine="420"/>
        <w:rPr>
          <w:rFonts w:ascii="宋体" w:cs="宋体"/>
          <w:szCs w:val="21"/>
        </w:rPr>
      </w:pPr>
      <w:r>
        <w:rPr>
          <w:rFonts w:hint="eastAsia" w:ascii="宋体" w:cs="宋体"/>
          <w:szCs w:val="21"/>
        </w:rPr>
        <w:t>4.4现金分期的申请是否通过，以乙方信用卡中心综合评定结果为准，申请结果将以短信形式告知,并可通过乙方信用卡app查询办理进度。持卡人申请现金分期成功后，款项到账时间由系统审核为准。</w:t>
      </w:r>
    </w:p>
    <w:p>
      <w:pPr>
        <w:pStyle w:val="5"/>
        <w:spacing w:line="360" w:lineRule="exact"/>
        <w:ind w:firstLine="482" w:firstLineChars="200"/>
        <w:rPr>
          <w:rFonts w:ascii="黑体" w:eastAsia="黑体" w:cs="黑体"/>
          <w:bCs/>
          <w:sz w:val="24"/>
        </w:rPr>
      </w:pPr>
      <w:r>
        <w:rPr>
          <w:rFonts w:hint="eastAsia" w:ascii="黑体" w:eastAsia="黑体" w:cs="黑体"/>
          <w:bCs/>
          <w:sz w:val="24"/>
        </w:rPr>
        <w:t>第五条 款项转出与记账</w:t>
      </w:r>
    </w:p>
    <w:p>
      <w:pPr>
        <w:spacing w:line="360" w:lineRule="exact"/>
        <w:ind w:firstLine="420" w:firstLineChars="200"/>
        <w:rPr>
          <w:rFonts w:ascii="宋体" w:cs="宋体"/>
          <w:szCs w:val="21"/>
        </w:rPr>
      </w:pPr>
      <w:r>
        <w:rPr>
          <w:rFonts w:hint="eastAsia" w:ascii="宋体" w:cs="宋体"/>
          <w:szCs w:val="21"/>
        </w:rPr>
        <w:t>5.1现金分期仅限转入甲方在乙方开立的本人本行借记卡账户。该借记卡账户的账户余额限额、该借记卡账户与所绑定信用卡账户之间的资金转入及转出限额等按相关法律法规及中国人民银行的有关规定执行。</w:t>
      </w:r>
    </w:p>
    <w:p>
      <w:pPr>
        <w:spacing w:line="360" w:lineRule="exact"/>
        <w:ind w:firstLine="422" w:firstLineChars="200"/>
        <w:rPr>
          <w:rFonts w:ascii="仿宋_GB2312" w:eastAsia="仿宋_GB2312" w:cs="仿宋_GB2312"/>
          <w:szCs w:val="21"/>
        </w:rPr>
      </w:pPr>
      <w:r>
        <w:rPr>
          <w:rFonts w:hint="eastAsia" w:ascii="黑体" w:eastAsia="黑体" w:cs="黑体"/>
          <w:b/>
          <w:bCs/>
          <w:kern w:val="0"/>
          <w:szCs w:val="21"/>
        </w:rPr>
        <w:t>5.2</w:t>
      </w:r>
      <w:r>
        <w:rPr>
          <w:rFonts w:hint="eastAsia" w:ascii="黑体" w:eastAsia="黑体"/>
          <w:b/>
          <w:bCs/>
          <w:szCs w:val="21"/>
        </w:rPr>
        <w:t>甲方应提供账户状态正常的借记卡信息，如因甲方提供的借记卡账户信息有误或非乙方原因造成的该账户状态不正常（包括但不限于销户、挂失、冻结等情况）导致款项转账失败或错误（包括但不限于无法转入甲方提供的账户、转入他人账户等情况），由此产生的费用和损失由甲方承担。</w:t>
      </w:r>
    </w:p>
    <w:p>
      <w:pPr>
        <w:spacing w:line="360" w:lineRule="exact"/>
        <w:ind w:firstLine="420" w:firstLineChars="200"/>
        <w:rPr>
          <w:rFonts w:ascii="宋体" w:cs="宋体"/>
          <w:szCs w:val="21"/>
        </w:rPr>
      </w:pPr>
      <w:r>
        <w:rPr>
          <w:rFonts w:hint="eastAsia" w:ascii="宋体" w:cs="宋体"/>
          <w:szCs w:val="21"/>
        </w:rPr>
        <w:t>5.3甲方应主动关注转账结果，如有问题，可拨打乙方客服热线40088-95580咨询。</w:t>
      </w:r>
    </w:p>
    <w:p>
      <w:pPr>
        <w:pStyle w:val="28"/>
        <w:widowControl/>
        <w:spacing w:before="0" w:beforeAutospacing="0" w:after="0" w:afterAutospacing="0" w:line="360" w:lineRule="exact"/>
        <w:ind w:firstLine="420" w:firstLineChars="200"/>
        <w:jc w:val="both"/>
        <w:rPr>
          <w:rFonts w:ascii="宋体" w:cs="宋体"/>
          <w:kern w:val="2"/>
          <w:sz w:val="21"/>
          <w:szCs w:val="21"/>
        </w:rPr>
      </w:pPr>
      <w:r>
        <w:rPr>
          <w:rFonts w:hint="eastAsia" w:ascii="宋体" w:cs="宋体"/>
          <w:kern w:val="2"/>
          <w:sz w:val="21"/>
          <w:szCs w:val="21"/>
        </w:rPr>
        <w:t>5.4甲方成功办理现金分期后，每期应还本金金额依甲方选择的分期期数，将本金总额按期均摊，在每期账单日记入甲方账单。</w:t>
      </w:r>
    </w:p>
    <w:p>
      <w:pPr>
        <w:pStyle w:val="28"/>
        <w:widowControl/>
        <w:spacing w:before="0" w:beforeAutospacing="0" w:after="0" w:afterAutospacing="0" w:line="360" w:lineRule="exact"/>
        <w:ind w:firstLine="420" w:firstLineChars="200"/>
        <w:jc w:val="both"/>
        <w:rPr>
          <w:rFonts w:ascii="宋体" w:cs="宋体"/>
          <w:kern w:val="2"/>
          <w:sz w:val="21"/>
          <w:szCs w:val="21"/>
        </w:rPr>
      </w:pPr>
      <w:r>
        <w:rPr>
          <w:rFonts w:hint="eastAsia" w:ascii="宋体" w:cs="宋体"/>
          <w:kern w:val="2"/>
          <w:sz w:val="21"/>
          <w:szCs w:val="21"/>
        </w:rPr>
        <w:t>5.5每期应还本金金额和应还分期利息金额的计算精确到分位，</w:t>
      </w:r>
      <w:r>
        <w:rPr>
          <w:rFonts w:hint="eastAsia" w:ascii="黑体" w:hAnsi="黑体" w:eastAsia="黑体" w:cs="宋体"/>
          <w:b/>
          <w:bCs/>
          <w:kern w:val="2"/>
          <w:sz w:val="21"/>
          <w:szCs w:val="21"/>
        </w:rPr>
        <w:t>对于每期应还本金金额不能在分位取得整除的，采用四舍五入的方式进行金额拆分，差额在最后一期进行调整</w:t>
      </w:r>
      <w:r>
        <w:rPr>
          <w:rFonts w:hint="eastAsia" w:ascii="宋体" w:cs="宋体"/>
          <w:kern w:val="2"/>
          <w:sz w:val="21"/>
          <w:szCs w:val="21"/>
        </w:rPr>
        <w:t>。</w:t>
      </w:r>
    </w:p>
    <w:p>
      <w:pPr>
        <w:spacing w:line="360" w:lineRule="exact"/>
        <w:ind w:firstLine="420" w:firstLineChars="200"/>
        <w:rPr>
          <w:rFonts w:ascii="宋体" w:cs="宋体"/>
          <w:szCs w:val="21"/>
        </w:rPr>
      </w:pPr>
      <w:r>
        <w:rPr>
          <w:rFonts w:hint="eastAsia" w:ascii="宋体" w:cs="宋体"/>
          <w:szCs w:val="21"/>
        </w:rPr>
        <w:t>5.6每期应还本金金额和应还分期利息金额视同该期账单日的一笔普通消费和普通利息，计入甲方每月账单应还款总额，同时全额计入最低还款额。</w:t>
      </w:r>
    </w:p>
    <w:p>
      <w:pPr>
        <w:pStyle w:val="5"/>
        <w:spacing w:line="360" w:lineRule="exact"/>
        <w:ind w:firstLine="482" w:firstLineChars="200"/>
        <w:rPr>
          <w:rFonts w:ascii="黑体" w:eastAsia="黑体" w:cs="黑体"/>
          <w:bCs/>
          <w:sz w:val="24"/>
        </w:rPr>
      </w:pPr>
      <w:r>
        <w:rPr>
          <w:rFonts w:hint="eastAsia" w:ascii="黑体" w:eastAsia="黑体" w:cs="黑体"/>
          <w:bCs/>
          <w:sz w:val="24"/>
        </w:rPr>
        <w:t>第六条 还款说明</w:t>
      </w:r>
    </w:p>
    <w:p>
      <w:pPr>
        <w:pStyle w:val="28"/>
        <w:widowControl/>
        <w:spacing w:before="0" w:beforeAutospacing="0" w:after="0" w:afterAutospacing="0" w:line="360" w:lineRule="exact"/>
        <w:ind w:firstLine="422" w:firstLineChars="200"/>
        <w:jc w:val="both"/>
        <w:rPr>
          <w:rFonts w:ascii="宋体" w:cs="宋体"/>
          <w:b/>
          <w:bCs/>
          <w:sz w:val="21"/>
          <w:szCs w:val="21"/>
        </w:rPr>
      </w:pPr>
      <w:r>
        <w:rPr>
          <w:rFonts w:hint="eastAsia" w:ascii="黑体" w:eastAsia="黑体" w:cs="黑体"/>
          <w:b/>
          <w:bCs/>
          <w:sz w:val="21"/>
          <w:szCs w:val="21"/>
        </w:rPr>
        <w:t>6.1甲方缴付信用卡欠款后仍有多余款项时，该款项将视为溢缴款，甲方每期还款金额以账单金额为准，溢缴款不会自动清偿未到期分期本金和分期利息。</w:t>
      </w:r>
    </w:p>
    <w:p>
      <w:pPr>
        <w:pStyle w:val="28"/>
        <w:widowControl/>
        <w:spacing w:before="0" w:beforeAutospacing="0" w:after="0" w:afterAutospacing="0" w:line="360" w:lineRule="exact"/>
        <w:ind w:firstLine="420" w:firstLineChars="200"/>
        <w:jc w:val="both"/>
        <w:rPr>
          <w:rFonts w:ascii="黑体" w:eastAsia="黑体" w:cs="黑体"/>
          <w:b/>
          <w:bCs/>
          <w:sz w:val="21"/>
          <w:szCs w:val="21"/>
        </w:rPr>
      </w:pPr>
      <w:r>
        <w:rPr>
          <w:rFonts w:hint="eastAsia" w:ascii="宋体" w:cs="宋体"/>
          <w:sz w:val="21"/>
          <w:szCs w:val="21"/>
        </w:rPr>
        <w:t>6.2甲方可在申请现金分期后致电信用卡客服提出分期提前还款申请，甲方剩余的分期付款未摊本金全部计入甲方的本期账单，并全额计入最低还款额，在后续账单日不再按期进行分摊。</w:t>
      </w:r>
      <w:r>
        <w:rPr>
          <w:rFonts w:hint="eastAsia" w:ascii="黑体" w:eastAsia="黑体" w:cs="黑体"/>
          <w:b/>
          <w:bCs/>
          <w:sz w:val="21"/>
          <w:szCs w:val="21"/>
        </w:rPr>
        <w:t>已分摊的分期利息不予退还，</w:t>
      </w:r>
      <w:r>
        <w:rPr>
          <w:rFonts w:hint="eastAsia" w:ascii="宋体" w:cs="宋体"/>
          <w:sz w:val="21"/>
          <w:szCs w:val="21"/>
        </w:rPr>
        <w:t>尚未分摊的分期利息不再收取并</w:t>
      </w:r>
      <w:r>
        <w:rPr>
          <w:rFonts w:hint="eastAsia" w:ascii="黑体" w:eastAsia="黑体" w:cs="黑体"/>
          <w:b/>
          <w:bCs/>
          <w:sz w:val="21"/>
          <w:szCs w:val="21"/>
        </w:rPr>
        <w:t>将收取提前还款违约金，收费标准为剩余未摊本金的3%。</w:t>
      </w:r>
    </w:p>
    <w:p>
      <w:pPr>
        <w:pStyle w:val="28"/>
        <w:widowControl/>
        <w:spacing w:before="0" w:beforeAutospacing="0" w:after="0" w:afterAutospacing="0" w:line="360" w:lineRule="exact"/>
        <w:ind w:firstLine="420" w:firstLineChars="200"/>
        <w:jc w:val="both"/>
        <w:rPr>
          <w:rFonts w:ascii="黑体" w:eastAsia="黑体" w:cs="黑体"/>
          <w:b/>
          <w:bCs/>
          <w:sz w:val="21"/>
          <w:szCs w:val="21"/>
        </w:rPr>
      </w:pPr>
      <w:r>
        <w:rPr>
          <w:rFonts w:hint="eastAsia" w:ascii="宋体" w:cs="宋体"/>
          <w:sz w:val="21"/>
          <w:szCs w:val="21"/>
        </w:rPr>
        <w:t>6.3若持卡人要求整户注销个人信用卡，</w:t>
      </w:r>
      <w:r>
        <w:rPr>
          <w:rFonts w:hint="eastAsia" w:ascii="黑体" w:eastAsia="黑体" w:cs="黑体"/>
          <w:b/>
          <w:bCs/>
          <w:sz w:val="21"/>
          <w:szCs w:val="21"/>
        </w:rPr>
        <w:t>须清偿本协议下全部剩余的分期本金、已摊销未还的分期利息、透支利息、违约金等。</w:t>
      </w:r>
    </w:p>
    <w:p>
      <w:pPr>
        <w:pStyle w:val="28"/>
        <w:widowControl/>
        <w:spacing w:before="0" w:beforeAutospacing="0" w:after="0" w:afterAutospacing="0" w:line="360" w:lineRule="exact"/>
        <w:ind w:firstLine="422" w:firstLineChars="200"/>
        <w:jc w:val="both"/>
        <w:rPr>
          <w:rFonts w:ascii="仿宋_GB2312" w:eastAsia="仿宋_GB2312" w:cs="仿宋_GB2312"/>
          <w:kern w:val="2"/>
          <w:sz w:val="21"/>
          <w:szCs w:val="21"/>
        </w:rPr>
      </w:pPr>
      <w:r>
        <w:rPr>
          <w:rFonts w:hint="eastAsia" w:ascii="黑体" w:eastAsia="黑体" w:cs="黑体"/>
          <w:b/>
          <w:bCs/>
          <w:sz w:val="21"/>
          <w:szCs w:val="21"/>
        </w:rPr>
        <w:t>6.4</w:t>
      </w:r>
      <w:r>
        <w:rPr>
          <w:rFonts w:hint="eastAsia" w:ascii="黑体" w:eastAsia="黑体" w:cs="黑体"/>
          <w:b/>
          <w:bCs/>
          <w:kern w:val="2"/>
          <w:sz w:val="21"/>
          <w:szCs w:val="21"/>
        </w:rPr>
        <w:t>如所办理分期业务应还款金额有逾期违约情形产生，按照《中国邮政储蓄银行信用卡（个人卡）领用合约》计收透支利息及违约金。每期应还本金金额视同该期账单日的一笔普通消费从该期账单日起计收透支利息。</w:t>
      </w:r>
    </w:p>
    <w:p>
      <w:pPr>
        <w:pStyle w:val="5"/>
        <w:spacing w:line="360" w:lineRule="exact"/>
        <w:ind w:firstLine="482" w:firstLineChars="200"/>
        <w:rPr>
          <w:rFonts w:ascii="黑体" w:eastAsia="黑体" w:cs="黑体"/>
          <w:bCs/>
          <w:sz w:val="24"/>
        </w:rPr>
      </w:pPr>
      <w:r>
        <w:rPr>
          <w:rFonts w:hint="eastAsia" w:ascii="黑体" w:eastAsia="黑体" w:cs="黑体"/>
          <w:bCs/>
          <w:sz w:val="24"/>
        </w:rPr>
        <w:t>第七条 违约责任</w:t>
      </w:r>
    </w:p>
    <w:p>
      <w:pPr>
        <w:pStyle w:val="28"/>
        <w:widowControl/>
        <w:spacing w:before="0" w:beforeAutospacing="0" w:after="0" w:afterAutospacing="0" w:line="360" w:lineRule="exact"/>
        <w:ind w:firstLine="422" w:firstLineChars="200"/>
        <w:jc w:val="both"/>
        <w:rPr>
          <w:rFonts w:ascii="仿宋_GB2312" w:eastAsia="仿宋_GB2312" w:cs="仿宋_GB2312"/>
          <w:b/>
          <w:bCs/>
          <w:sz w:val="21"/>
          <w:szCs w:val="21"/>
        </w:rPr>
      </w:pPr>
      <w:r>
        <w:rPr>
          <w:rFonts w:hint="eastAsia" w:ascii="黑体" w:eastAsia="黑体" w:cs="黑体"/>
          <w:b/>
          <w:bCs/>
          <w:sz w:val="21"/>
          <w:szCs w:val="21"/>
        </w:rPr>
        <w:t>7.1当甲方有下列情形时（包括但不限于：舞弊、欺诈或非真实交易的情形；信用卡由于被取消、管制、终止、已经过期并不被续期等原因变为不正常状态；未能按时还款；持卡人涉嫌洗钱、恐怖融资、扩散融资或涉及违反联合国等国际组织或者国家发布的可适用的制裁项目时；持卡人存在将信用卡用于生产经营、投资等非消费领域或涉嫌违反国家外汇管理相关规定等情形时；持卡人存在非法或未经本行授权的渠道申请信用卡等行为时；资信状况恶化或身故；违反乙方信用卡的领用合约、信用卡章程、本协议条款中的规定或相关法律法规等），甲方的未付剩余分期金额及其他相应费用全部视为到期，乙方有权要求甲方一次性偿还剩余未还的分期金额、分期利息及其他相应费用。</w:t>
      </w:r>
    </w:p>
    <w:p>
      <w:pPr>
        <w:pStyle w:val="28"/>
        <w:widowControl/>
        <w:spacing w:before="0" w:beforeAutospacing="0" w:after="0" w:afterAutospacing="0" w:line="360" w:lineRule="exact"/>
        <w:ind w:firstLine="422" w:firstLineChars="200"/>
        <w:jc w:val="both"/>
        <w:rPr>
          <w:rFonts w:ascii="宋体" w:cs="宋体"/>
          <w:sz w:val="21"/>
          <w:szCs w:val="21"/>
        </w:rPr>
      </w:pPr>
      <w:r>
        <w:rPr>
          <w:rFonts w:hint="eastAsia" w:ascii="黑体" w:eastAsia="黑体" w:cs="黑体"/>
          <w:b/>
          <w:bCs/>
          <w:sz w:val="21"/>
          <w:szCs w:val="21"/>
        </w:rPr>
        <w:t>7.2当甲方有逾期行为时，乙方有权在通过短信、电话等形式告知甲方后，从甲方在乙方及其各分支机构开立的账户中扣收相应款项以偿还欠款。</w:t>
      </w:r>
      <w:r>
        <w:rPr>
          <w:rFonts w:hint="eastAsia" w:ascii="宋体" w:cs="宋体"/>
          <w:sz w:val="21"/>
          <w:szCs w:val="21"/>
        </w:rPr>
        <w:t>如账户中资金不足以清偿全部欠款的，乙方有权就不足部分继续向甲方追索。</w:t>
      </w:r>
    </w:p>
    <w:p>
      <w:pPr>
        <w:pStyle w:val="5"/>
        <w:spacing w:line="360" w:lineRule="exact"/>
        <w:ind w:firstLine="482" w:firstLineChars="200"/>
        <w:rPr>
          <w:rFonts w:ascii="黑体" w:eastAsia="黑体" w:cs="黑体"/>
          <w:bCs/>
          <w:sz w:val="24"/>
        </w:rPr>
      </w:pPr>
      <w:r>
        <w:rPr>
          <w:rFonts w:hint="eastAsia" w:ascii="黑体" w:eastAsia="黑体" w:cs="黑体"/>
          <w:bCs/>
          <w:sz w:val="24"/>
        </w:rPr>
        <w:t>第八条 其他</w:t>
      </w:r>
    </w:p>
    <w:p>
      <w:pPr>
        <w:pStyle w:val="28"/>
        <w:widowControl/>
        <w:spacing w:before="0" w:beforeAutospacing="0" w:after="0" w:afterAutospacing="0" w:line="360" w:lineRule="exact"/>
        <w:ind w:firstLine="420" w:firstLineChars="200"/>
        <w:jc w:val="both"/>
        <w:rPr>
          <w:rFonts w:ascii="宋体" w:cs="宋体"/>
          <w:sz w:val="21"/>
          <w:szCs w:val="21"/>
        </w:rPr>
      </w:pPr>
      <w:r>
        <w:rPr>
          <w:rFonts w:hint="eastAsia" w:ascii="宋体" w:cs="宋体"/>
          <w:sz w:val="21"/>
          <w:szCs w:val="21"/>
        </w:rPr>
        <w:t>8.1甲方可通过电子渠道或口头确认本协议条款（以乙方系统录音为准）。本协议通过线上方式签署的，自甲方点击确认后生效。通过电话渠道办理，本协议自甲方口头确认后生效。</w:t>
      </w:r>
    </w:p>
    <w:p>
      <w:pPr>
        <w:pStyle w:val="28"/>
        <w:widowControl/>
        <w:spacing w:before="0" w:beforeAutospacing="0" w:after="0" w:afterAutospacing="0" w:line="360" w:lineRule="exact"/>
        <w:ind w:firstLine="420" w:firstLineChars="200"/>
        <w:jc w:val="both"/>
        <w:rPr>
          <w:rFonts w:ascii="宋体" w:cs="宋体"/>
          <w:sz w:val="21"/>
          <w:szCs w:val="21"/>
        </w:rPr>
      </w:pPr>
      <w:r>
        <w:rPr>
          <w:rFonts w:hint="eastAsia" w:ascii="宋体" w:cs="宋体"/>
          <w:sz w:val="21"/>
          <w:szCs w:val="21"/>
        </w:rPr>
        <w:t>8.2甲方可拨打乙方信用卡客服热线40088-95580进行咨询，或登陆乙方官方网站（www.psbc.com）进行了解。</w:t>
      </w:r>
    </w:p>
    <w:p>
      <w:pPr>
        <w:pStyle w:val="28"/>
        <w:widowControl/>
        <w:spacing w:before="0" w:beforeAutospacing="0" w:after="0" w:afterAutospacing="0" w:line="360" w:lineRule="exact"/>
        <w:ind w:firstLine="422" w:firstLineChars="200"/>
        <w:jc w:val="both"/>
        <w:rPr>
          <w:rFonts w:ascii="宋体" w:cs="宋体"/>
          <w:sz w:val="21"/>
          <w:szCs w:val="21"/>
        </w:rPr>
      </w:pPr>
      <w:r>
        <w:rPr>
          <w:rFonts w:hint="eastAsia" w:ascii="黑体" w:eastAsia="黑体" w:cs="黑体"/>
          <w:b/>
          <w:bCs/>
          <w:sz w:val="21"/>
          <w:szCs w:val="21"/>
        </w:rPr>
        <w:t>8.3本协议所涉及约定方式指乙方网站公告、营业网点公告、微信、电话、短信、邮储信用卡APP或邮件等方式，乙方有权根据实际业务情况选择一种或多种方式。</w:t>
      </w:r>
      <w:r>
        <w:rPr>
          <w:rFonts w:hint="eastAsia" w:ascii="宋体" w:cs="宋体"/>
          <w:sz w:val="21"/>
          <w:szCs w:val="21"/>
        </w:rPr>
        <w:t>乙方公告方式：中国邮政储蓄银行网站（www.psbc.com）、中国邮政储蓄银行营业网点等。</w:t>
      </w:r>
    </w:p>
    <w:p>
      <w:pPr>
        <w:pStyle w:val="28"/>
        <w:widowControl/>
        <w:spacing w:before="0" w:beforeAutospacing="0" w:after="0" w:afterAutospacing="0" w:line="360" w:lineRule="exact"/>
        <w:ind w:firstLine="422" w:firstLineChars="200"/>
        <w:jc w:val="both"/>
        <w:rPr>
          <w:rFonts w:ascii="黑体" w:eastAsia="黑体" w:cs="黑体"/>
          <w:b/>
          <w:bCs/>
          <w:sz w:val="21"/>
          <w:szCs w:val="21"/>
        </w:rPr>
      </w:pPr>
      <w:r>
        <w:rPr>
          <w:rFonts w:hint="eastAsia" w:ascii="黑体" w:eastAsia="黑体" w:cs="黑体"/>
          <w:b/>
          <w:bCs/>
          <w:sz w:val="21"/>
          <w:szCs w:val="21"/>
        </w:rPr>
        <w:t>8.4乙方对服务价格及其与价格有关的例外条款和限制性条款、分期渠道、分期期数、分期利息收取方式、优惠活动等规则以乙方官方网站、网点对外公布为准。不良征信报送、</w:t>
      </w:r>
      <w:r>
        <w:rPr>
          <w:rFonts w:ascii="黑体" w:eastAsia="黑体" w:cs="黑体"/>
          <w:b/>
          <w:bCs/>
          <w:sz w:val="21"/>
          <w:szCs w:val="21"/>
        </w:rPr>
        <w:t>个人信息</w:t>
      </w:r>
      <w:r>
        <w:rPr>
          <w:rFonts w:hint="eastAsia" w:ascii="黑体" w:eastAsia="黑体" w:cs="黑体"/>
          <w:b/>
          <w:bCs/>
          <w:sz w:val="21"/>
          <w:szCs w:val="21"/>
        </w:rPr>
        <w:t>处理等其他未尽事宜均依据《中国邮政储蓄银行信用卡（个人卡）章程》、《中国邮政储蓄银行信用卡（个人卡）领用合约》执行。完整版章程及领用合约可登录邮储银行官方网站www.psbc.com查询。</w:t>
      </w:r>
    </w:p>
    <w:p>
      <w:pPr>
        <w:pStyle w:val="28"/>
        <w:widowControl/>
        <w:spacing w:before="0" w:beforeAutospacing="0" w:after="0" w:afterAutospacing="0" w:line="360" w:lineRule="exact"/>
        <w:ind w:firstLine="422" w:firstLineChars="200"/>
        <w:jc w:val="both"/>
        <w:rPr>
          <w:rFonts w:ascii="黑体" w:eastAsia="黑体" w:cs="黑体"/>
          <w:b/>
          <w:bCs/>
          <w:sz w:val="21"/>
          <w:szCs w:val="21"/>
        </w:rPr>
      </w:pPr>
      <w:r>
        <w:rPr>
          <w:rFonts w:hint="eastAsia" w:ascii="黑体" w:eastAsia="黑体" w:cs="黑体"/>
          <w:b/>
          <w:bCs/>
          <w:sz w:val="21"/>
          <w:szCs w:val="21"/>
        </w:rPr>
        <w:t>8.5乙方保留根据国家法律法规及政策要求或银行经营管理和风险控制等需要修改、增加或删减本协议的权利，乙方如对本协议或作为本协议组成部分产品和服务等进行变更，应提前通过约定方式将变更事项告知甲方。在公告生效前办理的业务，以甲方办理该业务时的协议为准。若甲方在修改后的协议生效后继续办理本业务的，即视为甲方已仔细认真阅读、充分理解并同意接受修改后的本协议及各类规则，且甲方承诺遵守修改后的本协议及各类规则内容，并承担相应的义务和责任。若甲方不同意修改后的本协议及各类规则内容，应立即停止办理本业务。乙方保留中止、终止或限制甲方继续使用本平台服务的权利，但该等中止、终止或限制行为并不豁免甲方已经进行的交易下所应承担的责任和义务。</w:t>
      </w:r>
    </w:p>
    <w:p>
      <w:pPr>
        <w:pStyle w:val="28"/>
        <w:widowControl/>
        <w:spacing w:before="0" w:beforeAutospacing="0" w:after="0" w:afterAutospacing="0" w:line="360" w:lineRule="exact"/>
        <w:ind w:firstLine="422" w:firstLineChars="200"/>
        <w:jc w:val="both"/>
        <w:rPr>
          <w:rFonts w:ascii="仿宋_GB2312" w:eastAsia="仿宋_GB2312" w:cs="仿宋_GB2312"/>
          <w:sz w:val="21"/>
          <w:szCs w:val="21"/>
        </w:rPr>
      </w:pPr>
      <w:r>
        <w:rPr>
          <w:rFonts w:hint="eastAsia" w:ascii="黑体" w:eastAsia="黑体" w:cs="黑体"/>
          <w:b/>
          <w:bCs/>
          <w:sz w:val="21"/>
          <w:szCs w:val="21"/>
        </w:rPr>
        <w:t>8.6双方在履行本协议过程中，如发生争议可由双方协商或者通过调解解决。协商解决不成提起诉讼者，由乙方住所地有管辖权的人民法院管辖。</w:t>
      </w:r>
    </w:p>
    <w:p>
      <w:pPr>
        <w:pStyle w:val="28"/>
        <w:widowControl/>
        <w:spacing w:before="0" w:beforeAutospacing="0" w:after="0" w:afterAutospacing="0" w:line="360" w:lineRule="exact"/>
        <w:ind w:firstLine="420" w:firstLineChars="200"/>
        <w:jc w:val="both"/>
        <w:rPr>
          <w:rFonts w:ascii="宋体" w:cs="宋体"/>
          <w:sz w:val="21"/>
          <w:szCs w:val="21"/>
        </w:rPr>
      </w:pPr>
    </w:p>
    <w:p>
      <w:pPr>
        <w:spacing w:line="360" w:lineRule="exact"/>
        <w:ind w:firstLine="482" w:firstLineChars="200"/>
        <w:jc w:val="left"/>
        <w:rPr>
          <w:rFonts w:ascii="黑体" w:eastAsia="黑体" w:cs="黑体"/>
          <w:b/>
          <w:bCs/>
          <w:sz w:val="24"/>
        </w:rPr>
      </w:pPr>
      <w:r>
        <w:rPr>
          <w:rFonts w:hint="eastAsia" w:ascii="黑体" w:eastAsia="黑体" w:cs="黑体"/>
          <w:b/>
          <w:bCs/>
          <w:sz w:val="24"/>
        </w:rPr>
        <w:t>甲方声明：乙方已依法向我方提示了本协议相关条款（特别是含有黑体字标题或黑体字文字的条款），应我方要求对相关条款的概念、内容及法律效果做了说明，我方已经知悉并理解上述条款。</w:t>
      </w:r>
    </w:p>
    <w:p>
      <w:pPr>
        <w:pStyle w:val="28"/>
        <w:widowControl/>
        <w:spacing w:before="0" w:beforeAutospacing="0" w:after="0" w:afterAutospacing="0" w:line="360" w:lineRule="exact"/>
        <w:ind w:firstLine="420" w:firstLineChars="200"/>
        <w:jc w:val="both"/>
        <w:rPr>
          <w:rFonts w:ascii="宋体" w:cs="宋体"/>
          <w:sz w:val="21"/>
          <w:szCs w:val="21"/>
        </w:rPr>
      </w:pPr>
    </w:p>
    <w:p>
      <w:pPr>
        <w:spacing w:line="600" w:lineRule="exact"/>
        <w:ind w:firstLine="420" w:firstLineChars="200"/>
      </w:pPr>
    </w:p>
    <w:p/>
    <w:p>
      <w:pPr>
        <w:pStyle w:val="4"/>
      </w:pPr>
    </w:p>
    <w:p/>
    <w:p>
      <w:pPr>
        <w:pStyle w:val="2"/>
        <w:ind w:firstLine="420"/>
      </w:pPr>
    </w:p>
    <w:p>
      <w:pPr>
        <w:pStyle w:val="4"/>
      </w:pPr>
    </w:p>
    <w:p/>
    <w:p>
      <w:pPr>
        <w:pStyle w:val="4"/>
      </w:pPr>
      <w:bookmarkStart w:id="0" w:name="_GoBack"/>
      <w:bookmarkEnd w:id="0"/>
    </w:p>
    <w:sectPr>
      <w:footerReference r:id="rId6" w:type="default"/>
      <w:pgSz w:w="11906" w:h="16838"/>
      <w:pgMar w:top="1440" w:right="1800" w:bottom="1440" w:left="17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彩虹黑体">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rect id="文本框 1" o:spid="_x0000_s1025" o:spt="1" style="position:absolute;left:0pt;margin-top:0pt;height:11pt;width:6pt;mso-position-horizontal:center;mso-position-horizontal-relative:margin;mso-wrap-style:none;z-index:102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">
          <v:path/>
          <v:fill on="f" focussize="0,0"/>
          <v:stroke on="f"/>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27F"/>
    <w:rsid w:val="00012C01"/>
    <w:rsid w:val="00067718"/>
    <w:rsid w:val="00123E51"/>
    <w:rsid w:val="00144C07"/>
    <w:rsid w:val="001E4BB6"/>
    <w:rsid w:val="00210E80"/>
    <w:rsid w:val="002368DB"/>
    <w:rsid w:val="0029627F"/>
    <w:rsid w:val="002A58FE"/>
    <w:rsid w:val="003167D7"/>
    <w:rsid w:val="0038183C"/>
    <w:rsid w:val="003D4886"/>
    <w:rsid w:val="003E2FAF"/>
    <w:rsid w:val="00405AC7"/>
    <w:rsid w:val="00436162"/>
    <w:rsid w:val="00450AF2"/>
    <w:rsid w:val="004B7C98"/>
    <w:rsid w:val="00633DAB"/>
    <w:rsid w:val="00667103"/>
    <w:rsid w:val="006A2DD2"/>
    <w:rsid w:val="006A400C"/>
    <w:rsid w:val="0080283A"/>
    <w:rsid w:val="008B377A"/>
    <w:rsid w:val="00907ACE"/>
    <w:rsid w:val="00940B45"/>
    <w:rsid w:val="00977A15"/>
    <w:rsid w:val="00984F8E"/>
    <w:rsid w:val="009E212C"/>
    <w:rsid w:val="009E2927"/>
    <w:rsid w:val="00A02858"/>
    <w:rsid w:val="00A86C03"/>
    <w:rsid w:val="00A9166C"/>
    <w:rsid w:val="00AF4509"/>
    <w:rsid w:val="00AF453A"/>
    <w:rsid w:val="00B7518B"/>
    <w:rsid w:val="00B92B78"/>
    <w:rsid w:val="00BA04AD"/>
    <w:rsid w:val="00C23E4A"/>
    <w:rsid w:val="00C76F78"/>
    <w:rsid w:val="00C969C7"/>
    <w:rsid w:val="00D63DE7"/>
    <w:rsid w:val="00DD1950"/>
    <w:rsid w:val="00E01DAF"/>
    <w:rsid w:val="00E22BD2"/>
    <w:rsid w:val="00E85242"/>
    <w:rsid w:val="00EC4820"/>
    <w:rsid w:val="00ED60FE"/>
    <w:rsid w:val="00F34B57"/>
    <w:rsid w:val="00F61FBC"/>
    <w:rsid w:val="0AE768DB"/>
    <w:rsid w:val="0B79096E"/>
    <w:rsid w:val="1241269F"/>
    <w:rsid w:val="223E4FA7"/>
    <w:rsid w:val="43E620B3"/>
    <w:rsid w:val="4AD563D7"/>
    <w:rsid w:val="5CA2522A"/>
    <w:rsid w:val="62754796"/>
    <w:rsid w:val="75512A05"/>
    <w:rsid w:val="E23D22B6"/>
    <w:rsid w:val="EBF7E2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23"/>
    <w:qFormat/>
    <w:uiPriority w:val="9"/>
    <w:pPr>
      <w:keepNext/>
      <w:keepLines/>
      <w:spacing w:before="340" w:after="330" w:line="576" w:lineRule="auto"/>
      <w:outlineLvl w:val="0"/>
    </w:pPr>
    <w:rPr>
      <w:rFonts w:eastAsia="方正小标宋简体"/>
      <w:b/>
      <w:kern w:val="44"/>
      <w:sz w:val="36"/>
    </w:rPr>
  </w:style>
  <w:style w:type="paragraph" w:styleId="6">
    <w:name w:val="heading 2"/>
    <w:basedOn w:val="1"/>
    <w:next w:val="1"/>
    <w:link w:val="24"/>
    <w:semiHidden/>
    <w:unhideWhenUsed/>
    <w:qFormat/>
    <w:uiPriority w:val="9"/>
    <w:pPr>
      <w:keepNext/>
      <w:keepLines/>
      <w:spacing w:line="600" w:lineRule="exact"/>
      <w:jc w:val="left"/>
      <w:outlineLvl w:val="1"/>
    </w:pPr>
    <w:rPr>
      <w:rFonts w:ascii="黑体" w:eastAsia="黑体" w:cs="黑体"/>
    </w:rPr>
  </w:style>
  <w:style w:type="paragraph" w:styleId="7">
    <w:name w:val="heading 3"/>
    <w:basedOn w:val="1"/>
    <w:next w:val="1"/>
    <w:link w:val="25"/>
    <w:semiHidden/>
    <w:unhideWhenUsed/>
    <w:qFormat/>
    <w:uiPriority w:val="9"/>
    <w:pPr>
      <w:keepNext/>
      <w:keepLines/>
      <w:spacing w:before="260" w:after="260" w:line="415"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left="0" w:leftChars="0" w:firstLine="200" w:firstLineChars="200"/>
    </w:pPr>
  </w:style>
  <w:style w:type="paragraph" w:styleId="3">
    <w:name w:val="Body Text Indent"/>
    <w:basedOn w:val="1"/>
    <w:next w:val="2"/>
    <w:qFormat/>
    <w:uiPriority w:val="0"/>
    <w:pPr>
      <w:spacing w:after="120"/>
      <w:ind w:left="200" w:leftChars="200"/>
    </w:pPr>
  </w:style>
  <w:style w:type="paragraph" w:styleId="4">
    <w:name w:val="Body Text"/>
    <w:basedOn w:val="1"/>
    <w:next w:val="1"/>
    <w:qFormat/>
    <w:uiPriority w:val="0"/>
    <w:pPr>
      <w:spacing w:after="120"/>
    </w:pPr>
  </w:style>
  <w:style w:type="paragraph" w:styleId="8">
    <w:name w:val="annotation text"/>
    <w:basedOn w:val="1"/>
    <w:semiHidden/>
    <w:unhideWhenUsed/>
    <w:qFormat/>
    <w:uiPriority w:val="99"/>
    <w:pPr>
      <w:jc w:val="left"/>
    </w:pPr>
  </w:style>
  <w:style w:type="paragraph" w:styleId="9">
    <w:name w:val="toc 5"/>
    <w:basedOn w:val="1"/>
    <w:next w:val="1"/>
    <w:qFormat/>
    <w:uiPriority w:val="0"/>
    <w:pPr>
      <w:ind w:left="1680"/>
    </w:pPr>
  </w:style>
  <w:style w:type="paragraph" w:styleId="10">
    <w:name w:val="toc 3"/>
    <w:basedOn w:val="1"/>
    <w:next w:val="1"/>
    <w:qFormat/>
    <w:uiPriority w:val="0"/>
    <w:pPr>
      <w:ind w:left="84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tabs>
        <w:tab w:val="center" w:pos="4153"/>
        <w:tab w:val="right" w:pos="8306"/>
      </w:tabs>
      <w:snapToGrid w:val="0"/>
    </w:pPr>
    <w:rPr>
      <w:sz w:val="18"/>
    </w:rPr>
  </w:style>
  <w:style w:type="paragraph" w:styleId="13">
    <w:name w:val="toc 1"/>
    <w:basedOn w:val="1"/>
    <w:next w:val="1"/>
    <w:qFormat/>
    <w:uiPriority w:val="0"/>
  </w:style>
  <w:style w:type="paragraph" w:styleId="14">
    <w:name w:val="toc 4"/>
    <w:basedOn w:val="1"/>
    <w:next w:val="1"/>
    <w:qFormat/>
    <w:uiPriority w:val="0"/>
    <w:pPr>
      <w:ind w:left="1260"/>
    </w:pPr>
  </w:style>
  <w:style w:type="paragraph" w:styleId="15">
    <w:name w:val="footnote text"/>
    <w:basedOn w:val="1"/>
    <w:qFormat/>
    <w:uiPriority w:val="0"/>
    <w:pPr>
      <w:snapToGrid w:val="0"/>
      <w:jc w:val="left"/>
    </w:pPr>
    <w:rPr>
      <w:sz w:val="18"/>
    </w:rPr>
  </w:style>
  <w:style w:type="paragraph" w:styleId="16">
    <w:name w:val="toc 2"/>
    <w:basedOn w:val="1"/>
    <w:next w:val="1"/>
    <w:qFormat/>
    <w:uiPriority w:val="0"/>
    <w:pPr>
      <w:ind w:left="420"/>
    </w:p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Body Text First Indent"/>
    <w:basedOn w:val="4"/>
    <w:next w:val="2"/>
    <w:qFormat/>
    <w:uiPriority w:val="0"/>
    <w:pPr>
      <w:adjustRightInd w:val="0"/>
      <w:snapToGrid w:val="0"/>
      <w:spacing w:line="240" w:lineRule="atLeast"/>
      <w:ind w:firstLine="200" w:firstLineChars="200"/>
      <w:jc w:val="center"/>
    </w:pPr>
    <w:rPr>
      <w:rFonts w:eastAsia="彩虹黑体"/>
      <w:color w:val="FF0000"/>
      <w:spacing w:val="-20"/>
      <w:w w:val="90"/>
      <w:kern w:val="0"/>
      <w:sz w:val="28"/>
    </w:rPr>
  </w:style>
  <w:style w:type="character" w:styleId="21">
    <w:name w:val="annotation reference"/>
    <w:qFormat/>
    <w:uiPriority w:val="0"/>
    <w:rPr>
      <w:rFonts w:ascii="Times New Roman" w:hAnsi="Times New Roman" w:eastAsia="宋体" w:cs="Times New Roman"/>
      <w:sz w:val="21"/>
      <w:szCs w:val="21"/>
    </w:rPr>
  </w:style>
  <w:style w:type="character" w:styleId="22">
    <w:name w:val="footnote reference"/>
    <w:qFormat/>
    <w:uiPriority w:val="0"/>
    <w:rPr>
      <w:vertAlign w:val="superscript"/>
    </w:rPr>
  </w:style>
  <w:style w:type="character" w:customStyle="1" w:styleId="23">
    <w:name w:val="标题 1 字符"/>
    <w:link w:val="5"/>
    <w:qFormat/>
    <w:uiPriority w:val="0"/>
    <w:rPr>
      <w:rFonts w:ascii="Calibri" w:hAnsi="Calibri" w:eastAsia="方正小标宋简体" w:cs="Times New Roman"/>
      <w:b/>
      <w:kern w:val="44"/>
      <w:sz w:val="36"/>
      <w:szCs w:val="24"/>
      <w:lang w:val="en-US" w:eastAsia="zh-CN" w:bidi="ar-SA"/>
    </w:rPr>
  </w:style>
  <w:style w:type="character" w:customStyle="1" w:styleId="24">
    <w:name w:val="标题 2 字符"/>
    <w:link w:val="6"/>
    <w:qFormat/>
    <w:uiPriority w:val="0"/>
    <w:rPr>
      <w:rFonts w:ascii="黑体" w:hAnsi="Calibri" w:eastAsia="黑体" w:cs="黑体"/>
      <w:kern w:val="2"/>
      <w:sz w:val="21"/>
      <w:szCs w:val="24"/>
      <w:lang w:val="en-US" w:eastAsia="zh-CN" w:bidi="ar-SA"/>
    </w:rPr>
  </w:style>
  <w:style w:type="character" w:customStyle="1" w:styleId="25">
    <w:name w:val="标题 3 字符"/>
    <w:link w:val="7"/>
    <w:qFormat/>
    <w:uiPriority w:val="0"/>
    <w:rPr>
      <w:rFonts w:ascii="Calibri" w:hAnsi="Calibri" w:eastAsia="宋体" w:cs="Times New Roman"/>
      <w:b/>
      <w:bCs/>
      <w:kern w:val="2"/>
      <w:sz w:val="32"/>
      <w:szCs w:val="32"/>
      <w:lang w:val="en-US" w:eastAsia="zh-CN" w:bidi="ar-SA"/>
    </w:rPr>
  </w:style>
  <w:style w:type="paragraph" w:customStyle="1" w:styleId="26">
    <w:name w:val="Body Text Indent1"/>
    <w:basedOn w:val="1"/>
    <w:qFormat/>
    <w:uiPriority w:val="0"/>
    <w:pPr>
      <w:spacing w:line="500" w:lineRule="exact"/>
      <w:ind w:firstLine="200" w:firstLineChars="200"/>
    </w:pPr>
    <w:rPr>
      <w:rFonts w:ascii="Times New Roman" w:hAnsi="Times New Roman"/>
    </w:rPr>
  </w:style>
  <w:style w:type="paragraph" w:customStyle="1" w:styleId="27">
    <w:name w:val="Body Text First Indent 21"/>
    <w:basedOn w:val="26"/>
    <w:qFormat/>
    <w:uiPriority w:val="0"/>
  </w:style>
  <w:style w:type="paragraph" w:customStyle="1" w:styleId="28">
    <w:name w:val="普通(网站)1"/>
    <w:basedOn w:val="1"/>
    <w:qFormat/>
    <w:uiPriority w:val="0"/>
    <w:pPr>
      <w:spacing w:before="100" w:beforeAutospacing="1" w:after="100" w:afterAutospacing="1"/>
      <w:jc w:val="left"/>
    </w:pPr>
    <w:rPr>
      <w:rFonts w:ascii="Times New Roman" w:hAnsi="Times New Roman"/>
      <w:kern w:val="0"/>
      <w:sz w:val="24"/>
      <w:szCs w:val="22"/>
    </w:rPr>
  </w:style>
  <w:style w:type="paragraph" w:customStyle="1" w:styleId="29">
    <w:name w:val="段"/>
    <w:basedOn w:val="1"/>
    <w:qFormat/>
    <w:uiPriority w:val="0"/>
    <w:pPr>
      <w:widowControl/>
      <w:autoSpaceDE w:val="0"/>
      <w:autoSpaceDN w:val="0"/>
      <w:ind w:firstLine="200" w:firstLineChars="200"/>
    </w:pPr>
    <w:rPr>
      <w:rFonts w:ascii="宋体" w:cs="宋体"/>
      <w:kern w:val="0"/>
      <w:sz w:val="24"/>
    </w:rPr>
  </w:style>
  <w:style w:type="paragraph" w:customStyle="1" w:styleId="30">
    <w:name w:val="普通(网站)11"/>
    <w:basedOn w:val="1"/>
    <w:qFormat/>
    <w:uiPriority w:val="0"/>
    <w:pPr>
      <w:widowControl/>
      <w:spacing w:before="240" w:after="240"/>
      <w:jc w:val="left"/>
    </w:pPr>
    <w:rPr>
      <w:rFonts w:ascii="宋体" w:cs="宋体"/>
      <w:kern w:val="0"/>
      <w:sz w:val="24"/>
    </w:rPr>
  </w:style>
  <w:style w:type="paragraph" w:customStyle="1" w:styleId="31">
    <w:name w:val="列表段落1"/>
    <w:basedOn w:val="1"/>
    <w:qFormat/>
    <w:uiPriority w:val="0"/>
    <w:pPr>
      <w:ind w:firstLine="200" w:firstLineChars="200"/>
    </w:pPr>
    <w:rPr>
      <w:rFonts w:eastAsia="Calibri"/>
    </w:rPr>
  </w:style>
  <w:style w:type="paragraph" w:customStyle="1" w:styleId="32">
    <w:name w:val="正文首行缩进 21"/>
    <w:basedOn w:val="1"/>
    <w:qFormat/>
    <w:uiPriority w:val="0"/>
    <w:pPr>
      <w:spacing w:line="500" w:lineRule="exact"/>
      <w:ind w:firstLine="200" w:firstLineChars="200"/>
    </w:pPr>
  </w:style>
  <w:style w:type="paragraph" w:customStyle="1" w:styleId="33">
    <w:name w:val="列出段落2"/>
    <w:basedOn w:val="1"/>
    <w:qFormat/>
    <w:uiPriority w:val="0"/>
    <w:pPr>
      <w:ind w:firstLine="200" w:firstLineChars="200"/>
    </w:pPr>
    <w:rPr>
      <w:rFonts w:ascii="Times New Roman" w:hAnsi="Times New Roman"/>
    </w:rPr>
  </w:style>
  <w:style w:type="paragraph" w:customStyle="1" w:styleId="34">
    <w:name w:val="index 61"/>
    <w:basedOn w:val="1"/>
    <w:next w:val="1"/>
    <w:qFormat/>
    <w:uiPriority w:val="0"/>
    <w:pPr>
      <w:ind w:left="1000" w:leftChars="1000"/>
    </w:pPr>
  </w:style>
  <w:style w:type="paragraph" w:customStyle="1" w:styleId="35">
    <w:name w:val="列表段落11"/>
    <w:basedOn w:val="1"/>
    <w:qFormat/>
    <w:uiPriority w:val="0"/>
    <w:pPr>
      <w:ind w:firstLine="200" w:firstLineChars="200"/>
    </w:pPr>
    <w:rPr>
      <w:rFonts w:ascii="Times New Roman" w:hAnsi="Times New Roman"/>
    </w:rPr>
  </w:style>
  <w:style w:type="paragraph" w:customStyle="1" w:styleId="36">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629</Words>
  <Characters>3586</Characters>
  <Lines>29</Lines>
  <Paragraphs>8</Paragraphs>
  <TotalTime>0</TotalTime>
  <ScaleCrop>false</ScaleCrop>
  <LinksUpToDate>false</LinksUpToDate>
  <CharactersWithSpaces>4207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2022-03-31T01:02:00Z</dcterms:created>
  <dc:creator>宋婉鑫</dc:creator>
  <cp:lastModifiedBy>顺其自然</cp:lastModifiedBy>
  <dcterms:modified xsi:type="dcterms:W3CDTF">2025-03-07T09:17:49Z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
    <vt:lpwstr>5B1EAE82083A441CAC535D45B18F43BA</vt:lpwstr>
  </property>
</Properties>
</file>