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cs="宋体"/>
          <w:color w:val="auto"/>
          <w:sz w:val="24"/>
          <w:lang w:val="en-US" w:eastAsia="zh-CN" w:bidi="ar-SA"/>
        </w:rPr>
      </w:pPr>
      <w:bookmarkStart w:id="0" w:name="_GoBack"/>
      <w:bookmarkEnd w:id="0"/>
      <w:r>
        <w:rPr>
          <w:rFonts w:hint="eastAsia" w:ascii="宋体" w:cs="宋体"/>
          <w:color w:val="auto"/>
          <w:sz w:val="24"/>
          <w:lang w:bidi="ar-SA"/>
        </w:rPr>
        <w:t>PSBC〔202</w:t>
      </w:r>
      <w:r>
        <w:rPr>
          <w:rFonts w:hint="eastAsia" w:ascii="宋体" w:cs="宋体"/>
          <w:color w:val="auto"/>
          <w:sz w:val="24"/>
          <w:lang w:val="en-US" w:eastAsia="zh-CN" w:bidi="ar-SA"/>
        </w:rPr>
        <w:t>4</w:t>
      </w:r>
      <w:r>
        <w:rPr>
          <w:rFonts w:hint="eastAsia" w:ascii="宋体" w:cs="宋体"/>
          <w:color w:val="auto"/>
          <w:sz w:val="24"/>
          <w:lang w:bidi="ar-SA"/>
        </w:rPr>
        <w:t>〕</w:t>
      </w:r>
      <w:r>
        <w:rPr>
          <w:rFonts w:hint="eastAsia" w:ascii="宋体" w:cs="宋体"/>
          <w:color w:val="auto"/>
          <w:sz w:val="24"/>
          <w:lang w:val="en-US" w:eastAsia="zh-CN" w:bidi="ar-SA"/>
        </w:rPr>
        <w:t>ZH10011</w:t>
      </w: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spacing w:line="600" w:lineRule="exact"/>
        <w:jc w:val="center"/>
        <w:outlineLvl w:val="0"/>
        <w:rPr>
          <w:rFonts w:hint="eastAsia" w:ascii="方正小标宋简体" w:eastAsia="方正小标宋简体" w:cs="黑体"/>
          <w:b/>
          <w:color w:val="auto"/>
          <w:sz w:val="36"/>
          <w:szCs w:val="24"/>
          <w:highlight w:val="none"/>
          <w:lang w:val="zh-CN" w:eastAsia="zh-CN" w:bidi="ar-SA"/>
        </w:rPr>
      </w:pPr>
      <w:r>
        <w:rPr>
          <w:rFonts w:hint="eastAsia" w:ascii="方正小标宋简体" w:eastAsia="方正小标宋简体" w:cs="黑体"/>
          <w:b/>
          <w:color w:val="auto"/>
          <w:sz w:val="36"/>
          <w:szCs w:val="24"/>
          <w:highlight w:val="none"/>
          <w:lang w:val="zh-CN" w:eastAsia="zh-CN" w:bidi="ar-SA"/>
        </w:rPr>
        <w:t>中国邮政储蓄银行信用卡账单分期业务协议</w:t>
      </w: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r>
        <w:rPr>
          <w:rFonts w:ascii="宋体"/>
          <w:lang w:val="zh-CN" w:eastAsia="zh-CN"/>
        </w:rPr>
        <w:drawing>
          <wp:anchor distT="0" distB="0" distL="114300" distR="114300" simplePos="0" relativeHeight="1024" behindDoc="0" locked="0" layoutInCell="1" allowOverlap="1">
            <wp:simplePos x="0" y="0"/>
            <wp:positionH relativeFrom="page">
              <wp:align>center</wp:align>
            </wp:positionH>
            <wp:positionV relativeFrom="paragraph">
              <wp:posOffset>1098550</wp:posOffset>
            </wp:positionV>
            <wp:extent cx="2303780" cy="683895"/>
            <wp:effectExtent l="0" t="0" r="0" b="0"/>
            <wp:wrapTopAndBottom/>
            <wp:docPr id="2" name="图片 3" descr="E:\邮储银行标识-横版.jpg邮储银行标识-横版"/>
            <wp:cNvGraphicFramePr/>
            <a:graphic xmlns:a="http://schemas.openxmlformats.org/drawingml/2006/main">
              <a:graphicData uri="http://schemas.openxmlformats.org/drawingml/2006/picture">
                <pic:pic xmlns:pic="http://schemas.openxmlformats.org/drawingml/2006/picture">
                  <pic:nvPicPr>
                    <pic:cNvPr id="2" name="图片 3" descr="E:\邮储银行标识-横版.jpg邮储银行标识-横版"/>
                    <pic:cNvPicPr/>
                  </pic:nvPicPr>
                  <pic:blipFill>
                    <a:blip r:embed="rId7"/>
                    <a:srcRect l="14597" t="39388" r="14798" b="39680"/>
                    <a:stretch>
                      <a:fillRect/>
                    </a:stretch>
                  </pic:blipFill>
                  <pic:spPr>
                    <a:xfrm>
                      <a:off x="0" y="0"/>
                      <a:ext cx="2303780" cy="683895"/>
                    </a:xfrm>
                    <a:prstGeom prst="rect">
                      <a:avLst/>
                    </a:prstGeom>
                    <a:noFill/>
                    <a:ln w="9525" cap="flat" cmpd="sng">
                      <a:noFill/>
                      <a:prstDash val="solid"/>
                      <a:miter/>
                    </a:ln>
                  </pic:spPr>
                </pic:pic>
              </a:graphicData>
            </a:graphic>
          </wp:anchor>
        </w:drawing>
      </w: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hint="eastAsia" w:ascii="仿宋_GB2312" w:eastAsia="仿宋_GB2312" w:cs="仿宋_GB2312"/>
          <w:sz w:val="24"/>
          <w:lang w:bidi="ar-SA"/>
        </w:rPr>
        <w:sectPr>
          <w:headerReference r:id="rId3" w:type="first"/>
          <w:footerReference r:id="rId5" w:type="first"/>
          <w:footerReference r:id="rId4" w:type="default"/>
          <w:pgSz w:w="11906" w:h="16838"/>
          <w:pgMar w:top="1440" w:right="1746" w:bottom="1440" w:left="1746" w:header="851" w:footer="992" w:gutter="0"/>
          <w:docGrid w:type="lines" w:linePitch="312" w:charSpace="0"/>
        </w:sectPr>
      </w:pPr>
    </w:p>
    <w:p>
      <w:pPr>
        <w:keepNext w:val="0"/>
        <w:keepLines w:val="0"/>
        <w:widowControl w:val="0"/>
        <w:suppressLineNumbers w:val="0"/>
        <w:autoSpaceDE w:val="0"/>
        <w:autoSpaceDN/>
        <w:adjustRightInd w:val="0"/>
        <w:snapToGrid w:val="0"/>
        <w:spacing w:before="0" w:beforeAutospacing="0" w:after="0" w:afterAutospacing="0" w:line="360" w:lineRule="exact"/>
        <w:ind w:left="0" w:firstLine="482" w:firstLineChars="200"/>
        <w:jc w:val="both"/>
        <w:rPr>
          <w:rFonts w:hint="eastAsia" w:ascii="黑体" w:eastAsia="黑体" w:cs="黑体"/>
          <w:b/>
          <w:color w:val="auto"/>
          <w:kern w:val="2"/>
          <w:sz w:val="24"/>
          <w:szCs w:val="24"/>
          <w:highlight w:val="none"/>
          <w:lang w:val="en-US" w:eastAsia="zh-CN" w:bidi="ar-SA"/>
        </w:rPr>
      </w:pPr>
      <w:r>
        <w:rPr>
          <w:rFonts w:hint="eastAsia" w:ascii="黑体" w:eastAsia="黑体" w:cs="黑体"/>
          <w:b/>
          <w:color w:val="auto"/>
          <w:kern w:val="2"/>
          <w:sz w:val="24"/>
          <w:szCs w:val="24"/>
          <w:highlight w:val="none"/>
          <w:lang w:val="en-US" w:eastAsia="zh-CN" w:bidi="ar-SA"/>
        </w:rPr>
        <w:t>尊敬的客户：为了维护您的权益，请在签署本协议前，仔细阅读本协议各条款（特别是含有黑体字标题或黑体字文字的条款），如您对本协议有任何疑问，请不要进行确认及后续操作。您可向发卡行咨询，或者咨询您的律师和有关专业人士。如需进行业务咨询和投诉，请拨打中国邮政储蓄银行（以下简称“邮储银行”）24小时信用卡客服热线400-88-95580进行咨询或投诉。</w:t>
      </w:r>
    </w:p>
    <w:p>
      <w:pPr>
        <w:keepNext w:val="0"/>
        <w:keepLines w:val="0"/>
        <w:widowControl w:val="0"/>
        <w:suppressLineNumbers w:val="0"/>
        <w:autoSpaceDE w:val="0"/>
        <w:autoSpaceDN/>
        <w:adjustRightInd w:val="0"/>
        <w:snapToGrid w:val="0"/>
        <w:spacing w:before="0" w:beforeAutospacing="0" w:after="0" w:afterAutospacing="0" w:line="360" w:lineRule="exact"/>
        <w:ind w:left="0" w:firstLine="482" w:firstLineChars="200"/>
        <w:jc w:val="both"/>
        <w:rPr>
          <w:rFonts w:hint="eastAsia" w:ascii="黑体" w:eastAsia="黑体" w:cs="黑体"/>
          <w:b/>
          <w:color w:val="auto"/>
          <w:kern w:val="2"/>
          <w:sz w:val="24"/>
          <w:szCs w:val="24"/>
          <w:highlight w:val="none"/>
          <w:lang w:val="en-US" w:eastAsia="zh-CN" w:bidi="ar-SA"/>
        </w:rPr>
      </w:pPr>
    </w:p>
    <w:p>
      <w:pPr>
        <w:spacing w:line="360" w:lineRule="exact"/>
        <w:ind w:firstLine="480" w:firstLineChars="200"/>
        <w:rPr>
          <w:rFonts w:hint="eastAsia" w:ascii="宋体" w:eastAsia="宋体" w:cs="宋体"/>
          <w:color w:val="auto"/>
          <w:kern w:val="0"/>
          <w:sz w:val="24"/>
          <w:szCs w:val="24"/>
          <w:highlight w:val="none"/>
          <w:lang w:val="en-US" w:eastAsia="zh-CN" w:bidi="ar-SA"/>
        </w:rPr>
      </w:pPr>
      <w:r>
        <w:rPr>
          <w:rFonts w:hint="eastAsia" w:ascii="宋体" w:eastAsia="宋体" w:cs="宋体"/>
          <w:color w:val="auto"/>
          <w:kern w:val="0"/>
          <w:sz w:val="24"/>
          <w:szCs w:val="24"/>
          <w:highlight w:val="none"/>
          <w:lang w:val="en-US" w:eastAsia="zh-CN" w:bidi="ar-SA"/>
        </w:rPr>
        <w:t>甲方：</w:t>
      </w:r>
      <w:r>
        <w:rPr>
          <w:rFonts w:hint="eastAsia" w:ascii="宋体" w:eastAsia="宋体" w:cs="宋体"/>
          <w:color w:val="auto"/>
          <w:kern w:val="0"/>
          <w:sz w:val="24"/>
          <w:szCs w:val="24"/>
          <w:highlight w:val="none"/>
          <w:u w:val="single"/>
          <w:lang w:val="en-US" w:eastAsia="zh-CN" w:bidi="ar-SA"/>
        </w:rPr>
        <w:t>用户姓名</w:t>
      </w:r>
    </w:p>
    <w:p>
      <w:pPr>
        <w:spacing w:line="360" w:lineRule="exact"/>
        <w:ind w:firstLine="480" w:firstLineChars="200"/>
        <w:rPr>
          <w:rFonts w:hint="eastAsia" w:ascii="宋体" w:eastAsia="宋体" w:cs="宋体"/>
          <w:color w:val="auto"/>
          <w:kern w:val="0"/>
          <w:sz w:val="24"/>
          <w:szCs w:val="24"/>
          <w:highlight w:val="none"/>
          <w:lang w:val="en-US" w:eastAsia="zh-CN" w:bidi="ar-SA"/>
        </w:rPr>
      </w:pPr>
      <w:r>
        <w:rPr>
          <w:rFonts w:hint="eastAsia" w:ascii="宋体" w:eastAsia="宋体" w:cs="宋体"/>
          <w:color w:val="auto"/>
          <w:kern w:val="0"/>
          <w:sz w:val="24"/>
          <w:szCs w:val="24"/>
          <w:highlight w:val="none"/>
          <w:lang w:val="en-US" w:eastAsia="zh-CN" w:bidi="ar-SA"/>
        </w:rPr>
        <w:t>乙方：</w:t>
      </w:r>
      <w:r>
        <w:rPr>
          <w:rFonts w:hint="eastAsia" w:ascii="宋体" w:eastAsia="宋体" w:cs="宋体"/>
          <w:sz w:val="24"/>
          <w:lang w:bidi="ar-SA"/>
        </w:rPr>
        <w:t>中国邮政储蓄银行股份有限公司（含其分支机构）</w:t>
      </w:r>
    </w:p>
    <w:p>
      <w:pPr>
        <w:pStyle w:val="2"/>
        <w:spacing w:line="360" w:lineRule="exact"/>
        <w:ind w:firstLine="482" w:firstLineChars="200"/>
        <w:rPr>
          <w:rFonts w:hint="eastAsia" w:ascii="黑体" w:eastAsia="黑体" w:cs="黑体"/>
          <w:b/>
          <w:bCs/>
          <w:color w:val="auto"/>
          <w:sz w:val="24"/>
          <w:szCs w:val="24"/>
          <w:lang w:val="en-US" w:eastAsia="zh-CN" w:bidi="ar-SA"/>
        </w:rPr>
      </w:pPr>
      <w:r>
        <w:rPr>
          <w:rFonts w:hint="eastAsia" w:ascii="黑体" w:eastAsia="黑体" w:cs="黑体"/>
          <w:b/>
          <w:bCs/>
          <w:color w:val="auto"/>
          <w:sz w:val="24"/>
          <w:szCs w:val="24"/>
          <w:lang w:val="en-US" w:eastAsia="zh-CN" w:bidi="ar-SA"/>
        </w:rPr>
        <w:t>第一条 具体业务内容</w:t>
      </w:r>
    </w:p>
    <w:p>
      <w:pPr>
        <w:keepNext w:val="0"/>
        <w:keepLines w:val="0"/>
        <w:pageBreakBefore w:val="0"/>
        <w:widowControl w:val="0"/>
        <w:kinsoku/>
        <w:wordWrap/>
        <w:overflowPunct/>
        <w:topLinePunct w:val="0"/>
        <w:autoSpaceDE/>
        <w:autoSpaceDN/>
        <w:adjustRightInd/>
        <w:snapToGrid w:val="0"/>
        <w:spacing w:line="360" w:lineRule="exact"/>
        <w:ind w:firstLine="422" w:firstLineChars="200"/>
        <w:rPr>
          <w:rFonts w:hint="eastAsia" w:ascii="黑体" w:eastAsia="黑体" w:cs="黑体"/>
          <w:b/>
          <w:bCs/>
          <w:color w:val="auto"/>
          <w:sz w:val="21"/>
          <w:szCs w:val="21"/>
          <w:lang w:val="en-US" w:eastAsia="zh-CN" w:bidi="ar-SA"/>
        </w:rPr>
      </w:pPr>
      <w:r>
        <w:rPr>
          <w:rFonts w:hint="eastAsia" w:ascii="黑体" w:eastAsia="黑体" w:cs="黑体"/>
          <w:b/>
          <w:bCs/>
          <w:color w:val="auto"/>
          <w:sz w:val="21"/>
          <w:szCs w:val="21"/>
          <w:lang w:val="en-US" w:eastAsia="zh-CN" w:bidi="ar-SA"/>
        </w:rPr>
        <w:t>1.1甲方办理该笔分期业务除需偿还分期本金外，还需偿还分期利息。如甲方提前还款会产生提前还款违约金（最高收取不超过剩余未摊本金的3%），逾期会产生逾期违约金、透支利息。如遇诉讼，还有可能产生诉讼费、律师费、处置费等。</w:t>
      </w:r>
    </w:p>
    <w:p>
      <w:pPr>
        <w:keepNext w:val="0"/>
        <w:keepLines w:val="0"/>
        <w:pageBreakBefore w:val="0"/>
        <w:widowControl w:val="0"/>
        <w:kinsoku/>
        <w:wordWrap/>
        <w:overflowPunct/>
        <w:topLinePunct w:val="0"/>
        <w:autoSpaceDE/>
        <w:autoSpaceDN/>
        <w:adjustRightInd/>
        <w:snapToGrid w:val="0"/>
        <w:spacing w:line="360" w:lineRule="exact"/>
        <w:ind w:firstLine="422" w:firstLineChars="200"/>
        <w:rPr>
          <w:rFonts w:hint="eastAsia" w:ascii="黑体" w:eastAsia="黑体" w:cs="黑体"/>
          <w:b/>
          <w:bCs/>
          <w:color w:val="auto"/>
          <w:sz w:val="21"/>
          <w:szCs w:val="21"/>
          <w:lang w:val="en-US" w:eastAsia="zh-CN" w:bidi="ar-SA"/>
        </w:rPr>
      </w:pPr>
      <w:r>
        <w:rPr>
          <w:rFonts w:hint="eastAsia" w:ascii="黑体" w:eastAsia="黑体" w:cs="黑体"/>
          <w:b/>
          <w:bCs/>
          <w:color w:val="auto"/>
          <w:sz w:val="21"/>
          <w:szCs w:val="21"/>
          <w:lang w:val="en-US" w:eastAsia="zh-CN" w:bidi="ar-SA"/>
        </w:rPr>
        <w:t>1.2甲方办理的该笔分期业务为账单分期业务，分期本金XXXXX.XX元，分期期数XX期，每期需偿还本金XXXXX.XX元，按照“等本等息”方式收取分期利息，每期偿还分期利息XXXXX.XX元，每期还款总金额XXXXX.XX元，本笔分期交易总分期利息XXXXX.XX元，近似分期年化利率（单利）XX.XX%。</w:t>
      </w:r>
    </w:p>
    <w:p>
      <w:pPr>
        <w:keepNext w:val="0"/>
        <w:keepLines w:val="0"/>
        <w:pageBreakBefore w:val="0"/>
        <w:widowControl w:val="0"/>
        <w:kinsoku/>
        <w:wordWrap/>
        <w:overflowPunct/>
        <w:topLinePunct w:val="0"/>
        <w:autoSpaceDE/>
        <w:autoSpaceDN/>
        <w:adjustRightInd/>
        <w:snapToGrid w:val="0"/>
        <w:spacing w:line="360" w:lineRule="exact"/>
        <w:ind w:firstLine="422" w:firstLineChars="200"/>
        <w:rPr>
          <w:rFonts w:hint="eastAsia" w:ascii="黑体" w:eastAsia="黑体" w:cs="黑体"/>
          <w:b/>
          <w:bCs/>
          <w:color w:val="auto"/>
          <w:sz w:val="21"/>
          <w:szCs w:val="21"/>
          <w:lang w:val="en-US" w:eastAsia="zh-CN" w:bidi="ar-SA"/>
        </w:rPr>
      </w:pPr>
      <w:r>
        <w:rPr>
          <w:rFonts w:ascii="黑体" w:eastAsia="黑体" w:cs="黑体"/>
          <w:b/>
          <w:bCs/>
          <w:color w:val="auto"/>
          <w:sz w:val="21"/>
          <w:szCs w:val="21"/>
          <w:lang w:val="en-US" w:eastAsia="zh-CN" w:bidi="ar-SA"/>
        </w:rPr>
        <w:pict>
          <v:shape id="_x0000_s1026" o:spid="_x0000_s1026" o:spt="75" type="#_x0000_t75" style="position:absolute;left:0pt;margin-left:167.35pt;margin-top:24.25pt;height:47.5pt;width:136.8pt;mso-wrap-distance-bottom:0pt;mso-wrap-distance-left:8.95pt;mso-wrap-distance-right:8.95pt;mso-wrap-distance-top:0pt;z-index:1024;mso-width-relative:page;mso-height-relative:page;" o:ole="t" filled="f" o:preferrelative="t" stroked="f" coordsize="21600,21600">
            <v:path/>
            <v:fill on="f" focussize="0,0"/>
            <v:stroke on="f" color="#000000"/>
            <v:imagedata r:id="rId9" o:title="d8c16ecf-c5c9-486d-85e1-5914e798490b"/>
            <o:lock v:ext="edit" aspectratio="t"/>
            <w10:wrap type="square"/>
          </v:shape>
          <o:OLEObject Type="Embed" ProgID="Package" ShapeID="_x0000_s1026" DrawAspect="Content" ObjectID="_1468075725" r:id="rId8">
            <o:LockedField>false</o:LockedField>
          </o:OLEObject>
        </w:pict>
      </w:r>
      <w:r>
        <w:rPr>
          <w:rFonts w:hint="eastAsia" w:ascii="黑体" w:eastAsia="黑体" w:cs="黑体"/>
          <w:b/>
          <w:bCs/>
          <w:color w:val="auto"/>
          <w:sz w:val="21"/>
          <w:szCs w:val="21"/>
          <w:lang w:val="en-US" w:eastAsia="zh-CN" w:bidi="ar-SA"/>
        </w:rPr>
        <w:t>1.3近似年化利率（单利）不超过18.25%，近似年化利率是根据持卡人现金流按单利计算的年化内含报酬率，计算公式：</w:t>
      </w:r>
    </w:p>
    <w:p>
      <w:pPr>
        <w:keepNext w:val="0"/>
        <w:keepLines w:val="0"/>
        <w:pageBreakBefore w:val="0"/>
        <w:widowControl w:val="0"/>
        <w:kinsoku/>
        <w:wordWrap/>
        <w:overflowPunct/>
        <w:topLinePunct w:val="0"/>
        <w:autoSpaceDE/>
        <w:autoSpaceDN/>
        <w:adjustRightInd/>
        <w:snapToGrid w:val="0"/>
        <w:spacing w:line="360" w:lineRule="exact"/>
        <w:ind w:firstLine="422" w:firstLineChars="200"/>
        <w:rPr>
          <w:rFonts w:hint="eastAsia" w:ascii="黑体" w:eastAsia="黑体" w:cs="黑体"/>
          <w:b/>
          <w:bCs/>
          <w:color w:val="auto"/>
          <w:sz w:val="21"/>
          <w:szCs w:val="21"/>
          <w:lang w:val="en-US" w:eastAsia="zh-CN" w:bidi="ar-SA"/>
        </w:rPr>
      </w:pPr>
      <w:r>
        <w:rPr>
          <w:rFonts w:hint="eastAsia" w:ascii="黑体" w:eastAsia="黑体" w:cs="黑体"/>
          <w:b/>
          <w:bCs/>
          <w:color w:val="auto"/>
          <w:sz w:val="21"/>
          <w:szCs w:val="21"/>
          <w:lang w:val="en-US" w:eastAsia="zh-CN" w:bidi="ar-SA"/>
        </w:rPr>
        <w:t xml:space="preserve">分期本金总额 =   </w:t>
      </w:r>
    </w:p>
    <w:p>
      <w:pPr>
        <w:keepNext w:val="0"/>
        <w:keepLines w:val="0"/>
        <w:pageBreakBefore w:val="0"/>
        <w:widowControl w:val="0"/>
        <w:kinsoku/>
        <w:wordWrap/>
        <w:overflowPunct/>
        <w:topLinePunct w:val="0"/>
        <w:autoSpaceDE/>
        <w:autoSpaceDN/>
        <w:adjustRightInd/>
        <w:snapToGrid w:val="0"/>
        <w:spacing w:line="360" w:lineRule="exact"/>
        <w:ind w:firstLine="422" w:firstLineChars="200"/>
        <w:rPr>
          <w:rFonts w:hint="eastAsia" w:ascii="黑体" w:eastAsia="黑体" w:cs="黑体"/>
          <w:b/>
          <w:bCs/>
          <w:color w:val="auto"/>
          <w:sz w:val="21"/>
          <w:szCs w:val="21"/>
          <w:lang w:val="en-US" w:eastAsia="zh-CN" w:bidi="ar-SA"/>
        </w:rPr>
      </w:pPr>
    </w:p>
    <w:p>
      <w:pPr>
        <w:keepNext w:val="0"/>
        <w:keepLines w:val="0"/>
        <w:pageBreakBefore w:val="0"/>
        <w:widowControl w:val="0"/>
        <w:kinsoku/>
        <w:wordWrap/>
        <w:overflowPunct/>
        <w:topLinePunct w:val="0"/>
        <w:autoSpaceDE/>
        <w:autoSpaceDN/>
        <w:adjustRightInd/>
        <w:snapToGrid w:val="0"/>
        <w:spacing w:line="360" w:lineRule="exact"/>
        <w:ind w:firstLine="422" w:firstLineChars="200"/>
        <w:rPr>
          <w:rFonts w:hint="eastAsia" w:ascii="黑体" w:eastAsia="黑体" w:cs="黑体"/>
          <w:b/>
          <w:bCs/>
          <w:color w:val="auto"/>
          <w:sz w:val="21"/>
          <w:szCs w:val="21"/>
          <w:lang w:val="en-US" w:eastAsia="zh-CN" w:bidi="ar-SA"/>
        </w:rPr>
      </w:pPr>
      <w:r>
        <w:rPr>
          <w:rFonts w:hint="eastAsia" w:ascii="黑体" w:eastAsia="黑体" w:cs="黑体"/>
          <w:b/>
          <w:bCs/>
          <w:color w:val="auto"/>
          <w:sz w:val="21"/>
          <w:szCs w:val="21"/>
          <w:lang w:val="en-US" w:eastAsia="zh-CN" w:bidi="ar-SA"/>
        </w:rPr>
        <w:t>其中n为分期期数，由此计算得出的IRR即为近似年化利率（单利）。因选择办理分期产品与账单日的间隔、每月实际天数、提前还款、办理渠道等不同情况而有差异。</w:t>
      </w:r>
    </w:p>
    <w:p>
      <w:pPr>
        <w:keepNext w:val="0"/>
        <w:keepLines w:val="0"/>
        <w:pageBreakBefore w:val="0"/>
        <w:widowControl w:val="0"/>
        <w:kinsoku/>
        <w:wordWrap/>
        <w:overflowPunct/>
        <w:topLinePunct w:val="0"/>
        <w:autoSpaceDE/>
        <w:autoSpaceDN/>
        <w:adjustRightInd/>
        <w:snapToGrid w:val="0"/>
        <w:spacing w:line="360" w:lineRule="exact"/>
        <w:ind w:firstLine="422" w:firstLineChars="200"/>
        <w:rPr>
          <w:rFonts w:hint="eastAsia" w:ascii="黑体" w:eastAsia="黑体" w:cs="黑体"/>
          <w:b/>
          <w:bCs/>
          <w:color w:val="auto"/>
          <w:sz w:val="21"/>
          <w:szCs w:val="21"/>
          <w:lang w:val="en-US" w:eastAsia="zh-CN" w:bidi="ar-SA"/>
        </w:rPr>
      </w:pPr>
      <w:r>
        <w:rPr>
          <w:rFonts w:hint="eastAsia" w:ascii="黑体" w:eastAsia="黑体" w:cs="黑体"/>
          <w:b/>
          <w:bCs/>
          <w:color w:val="auto"/>
          <w:sz w:val="21"/>
          <w:szCs w:val="21"/>
          <w:lang w:val="en-US" w:eastAsia="zh-CN" w:bidi="ar-SA"/>
        </w:rPr>
        <w:t>1.4如所办理分期业务任一期应还款金额有逾期违约情形产生，按照《中国邮政储蓄银行信用卡（个人卡）领用合约》计收透支利息及违约金，当期应还本金金额视同该期账单日的一笔普通消费从该期账单日起计收透支利息。</w:t>
      </w:r>
    </w:p>
    <w:p>
      <w:pPr>
        <w:pStyle w:val="2"/>
        <w:spacing w:line="360" w:lineRule="exact"/>
        <w:ind w:firstLine="482" w:firstLineChars="200"/>
        <w:rPr>
          <w:rFonts w:hint="eastAsia" w:ascii="黑体" w:eastAsia="黑体" w:cs="黑体"/>
          <w:b/>
          <w:bCs/>
          <w:color w:val="auto"/>
          <w:sz w:val="24"/>
          <w:szCs w:val="24"/>
          <w:lang w:val="en-US" w:eastAsia="zh-CN" w:bidi="ar-SA"/>
        </w:rPr>
      </w:pPr>
      <w:r>
        <w:rPr>
          <w:rFonts w:hint="eastAsia" w:ascii="黑体" w:eastAsia="黑体" w:cs="黑体"/>
          <w:b/>
          <w:bCs/>
          <w:color w:val="auto"/>
          <w:sz w:val="24"/>
          <w:szCs w:val="24"/>
          <w:lang w:val="en-US" w:eastAsia="zh-CN" w:bidi="ar-SA"/>
        </w:rPr>
        <w:t>第二条 账单分期业务介绍</w:t>
      </w:r>
    </w:p>
    <w:p>
      <w:pPr>
        <w:spacing w:line="360" w:lineRule="exact"/>
        <w:ind w:firstLine="420" w:firstLineChars="200"/>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2.1信用卡账单分期业务（以下简称账单分期），是指甲方向乙方申请将已出账单转为分期付款偿还本金并支付相应分期利息的业务。</w:t>
      </w:r>
    </w:p>
    <w:p>
      <w:pPr>
        <w:spacing w:line="360" w:lineRule="exact"/>
        <w:ind w:firstLine="420" w:firstLineChars="200"/>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2.2账单分期仅限邮储银行信用卡主卡持卡人申请，附属卡不可申请。</w:t>
      </w:r>
    </w:p>
    <w:p>
      <w:pPr>
        <w:pStyle w:val="2"/>
        <w:spacing w:line="360" w:lineRule="exact"/>
        <w:ind w:firstLine="482" w:firstLineChars="200"/>
        <w:rPr>
          <w:rFonts w:hint="eastAsia" w:ascii="黑体" w:eastAsia="黑体" w:cs="黑体"/>
          <w:b/>
          <w:bCs/>
          <w:color w:val="auto"/>
          <w:sz w:val="24"/>
          <w:szCs w:val="24"/>
          <w:lang w:val="en-US" w:eastAsia="zh-CN" w:bidi="ar-SA"/>
        </w:rPr>
      </w:pPr>
      <w:r>
        <w:rPr>
          <w:rFonts w:hint="eastAsia" w:ascii="黑体" w:eastAsia="黑体" w:cs="黑体"/>
          <w:b/>
          <w:bCs/>
          <w:color w:val="auto"/>
          <w:sz w:val="24"/>
          <w:szCs w:val="24"/>
          <w:lang w:val="en-US" w:eastAsia="zh-CN" w:bidi="ar-SA"/>
        </w:rPr>
        <w:t>第三条 申请</w:t>
      </w:r>
    </w:p>
    <w:p>
      <w:pPr>
        <w:spacing w:line="360" w:lineRule="exact"/>
        <w:ind w:firstLine="422" w:firstLineChars="200"/>
        <w:rPr>
          <w:rFonts w:hint="eastAsia" w:ascii="黑体" w:eastAsia="黑体" w:cs="Times New Roman"/>
          <w:b/>
          <w:color w:val="auto"/>
          <w:sz w:val="21"/>
          <w:szCs w:val="21"/>
          <w:lang w:val="en-US" w:eastAsia="zh-CN" w:bidi="ar-SA"/>
        </w:rPr>
      </w:pPr>
      <w:r>
        <w:rPr>
          <w:rFonts w:hint="eastAsia" w:ascii="黑体" w:eastAsia="黑体" w:cs="Times New Roman"/>
          <w:b/>
          <w:color w:val="auto"/>
          <w:sz w:val="21"/>
          <w:szCs w:val="21"/>
          <w:lang w:val="en-US" w:eastAsia="zh-CN" w:bidi="ar-SA"/>
        </w:rPr>
        <w:t>3.1甲方申请账单分期的时间为账单日次日至最后还款日20点之前。</w:t>
      </w:r>
    </w:p>
    <w:p>
      <w:pPr>
        <w:spacing w:line="360" w:lineRule="exact"/>
        <w:ind w:firstLine="420" w:firstLineChars="200"/>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3.2甲方申请账单分期可致电邮储银行24小时信用卡客服热线（以下简称“信用卡客服”）40088-95580，或通过邮储银行信用卡APP、手机银行、短信或微信银行等渠道办理。</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3.3</w:t>
      </w:r>
      <w:r>
        <w:rPr>
          <w:rFonts w:hint="eastAsia" w:ascii="黑体" w:eastAsia="黑体"/>
          <w:b/>
          <w:sz w:val="21"/>
          <w:szCs w:val="21"/>
          <w:lang w:val="en-US" w:eastAsia="zh-CN"/>
        </w:rPr>
        <w:t>甲方申请账单分期一经乙方审核通过，即不能对分期金额和期数进行更改。甲方申请撤销账单分期，需在办理当天20:00前提出。如果撤销成功，对应的账单的剩余应还金额恢复。</w:t>
      </w:r>
      <w:r>
        <w:rPr>
          <w:rFonts w:hint="eastAsia" w:ascii="宋体" w:eastAsia="宋体" w:cs="宋体"/>
          <w:color w:val="auto"/>
          <w:sz w:val="21"/>
          <w:szCs w:val="21"/>
          <w:lang w:val="en-US" w:eastAsia="zh-CN" w:bidi="ar-SA"/>
        </w:rPr>
        <w:t>如部分信用卡产品有特殊规定，从其规定。</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3.4甲方可对已出账单申请一次分期，分期分摊金额计入最低还款额，不可再次分期。</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3.5甲方所申请的分期金额、期数以乙方系统内记载的经甲方确认的申请信息为准，包括但不限于电话录音记录、纸质记录、电子渠道申请确认记录等。</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3.6乙方有权依据其业务规定及商业判断独立决定是否同意甲方的账单分期付款申请。</w:t>
      </w:r>
    </w:p>
    <w:p>
      <w:pPr>
        <w:pStyle w:val="2"/>
        <w:spacing w:line="360" w:lineRule="exact"/>
        <w:ind w:firstLine="482" w:firstLineChars="200"/>
        <w:rPr>
          <w:rFonts w:hint="eastAsia" w:ascii="黑体" w:eastAsia="黑体" w:cs="黑体"/>
          <w:b/>
          <w:bCs/>
          <w:color w:val="auto"/>
          <w:sz w:val="24"/>
          <w:szCs w:val="24"/>
          <w:lang w:val="en-US" w:eastAsia="zh-CN" w:bidi="ar-SA"/>
        </w:rPr>
      </w:pPr>
      <w:r>
        <w:rPr>
          <w:rFonts w:hint="eastAsia" w:ascii="黑体" w:eastAsia="黑体" w:cs="黑体"/>
          <w:b/>
          <w:bCs/>
          <w:color w:val="auto"/>
          <w:sz w:val="24"/>
          <w:szCs w:val="24"/>
          <w:lang w:val="en-US" w:eastAsia="zh-CN" w:bidi="ar-SA"/>
        </w:rPr>
        <w:t>第四条 业务要素</w:t>
      </w:r>
    </w:p>
    <w:p>
      <w:pPr>
        <w:keepNext w:val="0"/>
        <w:keepLines w:val="0"/>
        <w:pageBreakBefore w:val="0"/>
        <w:widowControl/>
        <w:kinsoku/>
        <w:wordWrap/>
        <w:overflowPunct/>
        <w:topLinePunct w:val="0"/>
        <w:spacing w:line="360" w:lineRule="exact"/>
        <w:ind w:firstLine="420" w:firstLineChars="200"/>
        <w:jc w:val="both"/>
        <w:rPr>
          <w:rFonts w:hint="eastAsia" w:ascii="黑体" w:eastAsia="黑体"/>
          <w:b/>
          <w:sz w:val="21"/>
          <w:szCs w:val="21"/>
          <w:lang w:val="en-US" w:eastAsia="zh-CN"/>
        </w:rPr>
      </w:pPr>
      <w:r>
        <w:rPr>
          <w:rFonts w:hint="eastAsia" w:ascii="宋体" w:eastAsia="宋体" w:cs="宋体"/>
          <w:color w:val="auto"/>
          <w:sz w:val="21"/>
          <w:szCs w:val="21"/>
          <w:lang w:val="en-US" w:eastAsia="zh-CN" w:bidi="ar-SA"/>
        </w:rPr>
        <w:t>4.1乙方为甲方个性化提供多种期数选择，每期为1个月；分期利息按期（月）收取，标准分期利率为0.60%；</w:t>
      </w:r>
      <w:r>
        <w:rPr>
          <w:rFonts w:hint="eastAsia" w:ascii="黑体" w:eastAsia="黑体"/>
          <w:b/>
          <w:sz w:val="21"/>
          <w:szCs w:val="21"/>
          <w:lang w:val="en-US" w:eastAsia="zh-CN"/>
        </w:rPr>
        <w:t>实际可分期期数和分期利率以申请时邮储银行界面展示结果或信用卡客服告知为准。</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4.2账单是否可以申请分期，以申请时邮储银行评测为准。</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4.3甲方同意每月支付分期利息，并授权乙方逐月从甲方中国邮政储蓄银行信用卡账户中扣收。</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黑体" w:eastAsia="黑体"/>
          <w:b/>
          <w:sz w:val="21"/>
          <w:szCs w:val="21"/>
          <w:lang w:val="en-US" w:eastAsia="zh-CN"/>
        </w:rPr>
      </w:pPr>
      <w:r>
        <w:rPr>
          <w:rFonts w:hint="eastAsia" w:ascii="宋体" w:eastAsia="宋体" w:cs="宋体"/>
          <w:color w:val="auto"/>
          <w:sz w:val="21"/>
          <w:szCs w:val="21"/>
          <w:lang w:val="en-US" w:eastAsia="zh-CN" w:bidi="ar-SA"/>
        </w:rPr>
        <w:t>4.4分期每期应还本金=分期本金总额÷分期期数，每期应还本金（四舍五入精确到分）逐月计入甲方信用卡人民币账户，如本金无法除尽，余数计入最后一期。</w:t>
      </w:r>
      <w:r>
        <w:rPr>
          <w:rFonts w:hint="eastAsia" w:ascii="黑体" w:eastAsia="黑体"/>
          <w:b/>
          <w:sz w:val="21"/>
          <w:szCs w:val="21"/>
          <w:lang w:val="en-US" w:eastAsia="zh-CN"/>
        </w:rPr>
        <w:t>每期分期利息=分期本金总额×每期分期利率（四舍五入精确到分）。分期利息一经收取，不予退还。</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黑体" w:eastAsia="黑体"/>
          <w:b/>
          <w:sz w:val="21"/>
          <w:szCs w:val="21"/>
          <w:lang w:val="en-US" w:eastAsia="zh-CN"/>
        </w:rPr>
      </w:pPr>
      <w:r>
        <w:rPr>
          <w:rFonts w:hint="eastAsia" w:ascii="宋体" w:eastAsia="宋体" w:cs="宋体"/>
          <w:color w:val="auto"/>
          <w:sz w:val="21"/>
          <w:szCs w:val="21"/>
          <w:lang w:val="en-US" w:eastAsia="zh-CN" w:bidi="ar-SA"/>
        </w:rPr>
        <w:t>4.5账单分期每月本金和分期利息的出账日为甲方信用卡账单日，并将计入甲方每月账单最低还款额中。甲方应根据信用卡账单提示金额在到期还款日前及时还款。</w:t>
      </w:r>
      <w:r>
        <w:rPr>
          <w:rFonts w:hint="eastAsia" w:ascii="黑体" w:eastAsia="黑体"/>
          <w:b/>
          <w:sz w:val="21"/>
          <w:szCs w:val="21"/>
          <w:lang w:val="en-US" w:eastAsia="zh-CN"/>
        </w:rPr>
        <w:t>如办理成功后甲方未按时全部偿还当期剩余账单金额，将视为未全额还款，则当期账单不享受消费交易的免息还款期待遇，且每期“应还本金金额”视同该期账单日的一笔普通消费从该期账单日起计收透支利息。</w:t>
      </w:r>
    </w:p>
    <w:p>
      <w:pPr>
        <w:keepNext w:val="0"/>
        <w:keepLines w:val="0"/>
        <w:pageBreakBefore w:val="0"/>
        <w:widowControl w:val="0"/>
        <w:kinsoku/>
        <w:wordWrap/>
        <w:overflowPunct/>
        <w:topLinePunct w:val="0"/>
        <w:autoSpaceDE/>
        <w:autoSpaceDN/>
        <w:adjustRightInd/>
        <w:snapToGrid/>
        <w:spacing w:line="360" w:lineRule="exact"/>
        <w:ind w:firstLine="422" w:firstLineChars="200"/>
        <w:jc w:val="both"/>
        <w:rPr>
          <w:rFonts w:hint="eastAsia" w:ascii="黑体" w:eastAsia="黑体"/>
          <w:b/>
          <w:sz w:val="21"/>
          <w:szCs w:val="21"/>
          <w:lang w:val="en-US" w:eastAsia="zh-CN"/>
        </w:rPr>
      </w:pPr>
      <w:r>
        <w:rPr>
          <w:rFonts w:hint="eastAsia" w:ascii="黑体" w:eastAsia="黑体"/>
          <w:b/>
          <w:sz w:val="21"/>
          <w:szCs w:val="21"/>
          <w:lang w:val="en-US" w:eastAsia="zh-CN"/>
        </w:rPr>
        <w:t>4.6办理账单分期成功后，分期的本金和已摊销的分期利息仍占用信用额度，对应账单所占用的额度会随着每期还款而逐期恢复，直至最后一期或提前清偿所有分期余额。</w:t>
      </w:r>
    </w:p>
    <w:p>
      <w:pPr>
        <w:keepNext w:val="0"/>
        <w:keepLines w:val="0"/>
        <w:pageBreakBefore w:val="0"/>
        <w:widowControl w:val="0"/>
        <w:kinsoku/>
        <w:wordWrap/>
        <w:overflowPunct/>
        <w:topLinePunct w:val="0"/>
        <w:autoSpaceDE/>
        <w:autoSpaceDN/>
        <w:adjustRightInd/>
        <w:snapToGrid/>
        <w:spacing w:line="360" w:lineRule="exact"/>
        <w:ind w:firstLine="422" w:firstLineChars="200"/>
        <w:jc w:val="both"/>
        <w:rPr>
          <w:rFonts w:hint="eastAsia" w:ascii="黑体" w:eastAsia="黑体"/>
          <w:b/>
          <w:sz w:val="21"/>
          <w:szCs w:val="21"/>
          <w:lang w:val="en-US" w:eastAsia="zh-CN"/>
        </w:rPr>
      </w:pPr>
      <w:r>
        <w:rPr>
          <w:rFonts w:hint="eastAsia" w:ascii="黑体" w:eastAsia="黑体"/>
          <w:b/>
          <w:sz w:val="21"/>
          <w:szCs w:val="21"/>
          <w:lang w:val="en-US" w:eastAsia="zh-CN"/>
        </w:rPr>
        <w:t>4.7账单分期业务的每期应还本金和分期利息均不计算任何形式的积分。如部分信用卡产品有特殊规定，从其规定。</w:t>
      </w:r>
    </w:p>
    <w:p>
      <w:pPr>
        <w:pStyle w:val="2"/>
        <w:spacing w:line="360" w:lineRule="exact"/>
        <w:ind w:firstLine="482" w:firstLineChars="200"/>
        <w:rPr>
          <w:rFonts w:hint="eastAsia" w:ascii="黑体" w:eastAsia="黑体" w:cs="黑体"/>
          <w:b/>
          <w:bCs/>
          <w:color w:val="auto"/>
          <w:sz w:val="24"/>
          <w:szCs w:val="24"/>
          <w:lang w:val="en-US" w:eastAsia="zh-CN" w:bidi="ar-SA"/>
        </w:rPr>
      </w:pPr>
      <w:r>
        <w:rPr>
          <w:rFonts w:hint="eastAsia" w:ascii="黑体" w:eastAsia="黑体" w:cs="黑体"/>
          <w:b/>
          <w:bCs/>
          <w:color w:val="auto"/>
          <w:sz w:val="24"/>
          <w:szCs w:val="24"/>
          <w:lang w:val="en-US" w:eastAsia="zh-CN" w:bidi="ar-SA"/>
        </w:rPr>
        <w:t>第五条 还款说明</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黑体" w:eastAsia="黑体"/>
          <w:b/>
          <w:sz w:val="21"/>
          <w:szCs w:val="21"/>
          <w:lang w:val="en-US" w:eastAsia="zh-CN"/>
        </w:rPr>
      </w:pPr>
      <w:r>
        <w:rPr>
          <w:rFonts w:hint="eastAsia" w:ascii="宋体" w:eastAsia="宋体" w:cs="宋体"/>
          <w:color w:val="auto"/>
          <w:sz w:val="21"/>
          <w:szCs w:val="21"/>
          <w:lang w:val="en-US" w:eastAsia="zh-CN" w:bidi="ar-SA"/>
        </w:rPr>
        <w:t>5.1甲方缴付信用卡欠款后仍有多余款项时，该款项将视为溢缴款，甲方每期还款金额以账单金额为准，</w:t>
      </w:r>
      <w:r>
        <w:rPr>
          <w:rFonts w:hint="eastAsia" w:ascii="黑体" w:eastAsia="黑体"/>
          <w:b/>
          <w:sz w:val="21"/>
          <w:szCs w:val="21"/>
          <w:lang w:val="en-US" w:eastAsia="zh-CN"/>
        </w:rPr>
        <w:t>溢缴款不会自动清偿未到期分期本金和分期利息。</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黑体" w:eastAsia="黑体"/>
          <w:b/>
          <w:sz w:val="21"/>
          <w:szCs w:val="21"/>
          <w:lang w:val="en-US" w:eastAsia="zh-CN"/>
        </w:rPr>
      </w:pPr>
      <w:r>
        <w:rPr>
          <w:rFonts w:hint="eastAsia" w:ascii="宋体" w:eastAsia="宋体" w:cs="宋体"/>
          <w:color w:val="auto"/>
          <w:sz w:val="21"/>
          <w:szCs w:val="21"/>
          <w:lang w:val="en-US" w:eastAsia="zh-CN" w:bidi="ar-SA"/>
        </w:rPr>
        <w:t>5.2甲方可在成功办理账单分期次日通过邮储银行信用卡客服等渠道提出分期提前还款申请。</w:t>
      </w:r>
      <w:r>
        <w:rPr>
          <w:rFonts w:hint="eastAsia" w:ascii="黑体" w:eastAsia="黑体"/>
          <w:b/>
          <w:sz w:val="21"/>
          <w:szCs w:val="21"/>
          <w:lang w:val="en-US" w:eastAsia="zh-CN"/>
        </w:rPr>
        <w:t>申请通过后，甲方剩余的分期付款未摊本金全部计入甲方的本期账单，并全额计入最低还款额，在后续账单日不再按期进行分摊。已分摊的分期利息不予退还，尚未分摊的分期利息不再收取，但需收取最高不超过剩余未摊本金3%的分期提前还款违约金。</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黑体" w:eastAsia="黑体"/>
          <w:b/>
          <w:sz w:val="21"/>
          <w:szCs w:val="21"/>
          <w:lang w:val="en-US" w:eastAsia="zh-CN"/>
        </w:rPr>
      </w:pPr>
      <w:r>
        <w:rPr>
          <w:rFonts w:hint="eastAsia" w:ascii="宋体" w:eastAsia="宋体" w:cs="宋体"/>
          <w:color w:val="auto"/>
          <w:sz w:val="21"/>
          <w:szCs w:val="21"/>
          <w:lang w:val="en-US" w:eastAsia="zh-CN" w:bidi="ar-SA"/>
        </w:rPr>
        <w:t>5.3甲方在账单分期还款期间发生销户情况</w:t>
      </w:r>
      <w:r>
        <w:rPr>
          <w:rFonts w:hint="eastAsia" w:ascii="宋体" w:eastAsia="宋体" w:cs="宋体"/>
          <w:color w:val="auto"/>
          <w:sz w:val="21"/>
          <w:szCs w:val="21"/>
          <w:lang w:bidi="ar-SA"/>
        </w:rPr>
        <w:t>（甲方自身原因所致的销户）</w:t>
      </w:r>
      <w:r>
        <w:rPr>
          <w:rFonts w:hint="eastAsia" w:ascii="宋体" w:eastAsia="宋体" w:cs="宋体"/>
          <w:color w:val="auto"/>
          <w:sz w:val="21"/>
          <w:szCs w:val="21"/>
          <w:lang w:val="en-US" w:eastAsia="zh-CN" w:bidi="ar-SA"/>
        </w:rPr>
        <w:t>，</w:t>
      </w:r>
      <w:r>
        <w:rPr>
          <w:rFonts w:hint="eastAsia" w:ascii="黑体" w:eastAsia="黑体"/>
          <w:b/>
          <w:sz w:val="21"/>
          <w:szCs w:val="21"/>
        </w:rPr>
        <w:t>所有欠款将被视为立即全部到期，甲方必须全额</w:t>
      </w:r>
      <w:r>
        <w:rPr>
          <w:rFonts w:hint="eastAsia" w:ascii="黑体" w:eastAsia="黑体"/>
          <w:b/>
          <w:sz w:val="21"/>
          <w:szCs w:val="21"/>
          <w:lang w:val="en-US" w:eastAsia="zh-CN"/>
        </w:rPr>
        <w:t>清偿本协议下一切剩余的分期本金、已摊销未还的分期利息、透支利息、违约金等</w:t>
      </w:r>
      <w:r>
        <w:rPr>
          <w:rFonts w:hint="eastAsia" w:ascii="黑体" w:eastAsia="黑体"/>
          <w:b/>
          <w:sz w:val="21"/>
          <w:szCs w:val="21"/>
        </w:rPr>
        <w:t>全部应还款项</w:t>
      </w:r>
      <w:r>
        <w:rPr>
          <w:rFonts w:hint="eastAsia" w:ascii="黑体" w:eastAsia="黑体"/>
          <w:b/>
          <w:sz w:val="21"/>
          <w:szCs w:val="21"/>
          <w:lang w:val="en-US" w:eastAsia="zh-CN"/>
        </w:rPr>
        <w:t>。</w:t>
      </w:r>
    </w:p>
    <w:p>
      <w:pPr>
        <w:keepNext w:val="0"/>
        <w:keepLines w:val="0"/>
        <w:pageBreakBefore w:val="0"/>
        <w:widowControl w:val="0"/>
        <w:kinsoku/>
        <w:wordWrap/>
        <w:overflowPunct/>
        <w:topLinePunct w:val="0"/>
        <w:autoSpaceDE/>
        <w:autoSpaceDN/>
        <w:adjustRightInd/>
        <w:snapToGrid/>
        <w:spacing w:line="360" w:lineRule="exact"/>
        <w:ind w:firstLine="422" w:firstLineChars="200"/>
        <w:jc w:val="both"/>
        <w:rPr>
          <w:rFonts w:hint="eastAsia" w:ascii="黑体" w:eastAsia="黑体"/>
          <w:b/>
          <w:sz w:val="21"/>
          <w:szCs w:val="21"/>
          <w:lang w:val="en-US" w:eastAsia="zh-CN"/>
        </w:rPr>
      </w:pPr>
      <w:r>
        <w:rPr>
          <w:rFonts w:hint="eastAsia" w:ascii="黑体" w:eastAsia="黑体"/>
          <w:b/>
          <w:sz w:val="21"/>
          <w:szCs w:val="21"/>
          <w:lang w:val="en-US" w:eastAsia="zh-CN"/>
        </w:rPr>
        <w:t>5.4分期付款未结束且甲方的信用卡已至有效期，无论是否续卡，分期付款不因此而终止，还款义务仍然存在，甲方可通过常规还款途径继续还款。</w:t>
      </w:r>
    </w:p>
    <w:p>
      <w:pPr>
        <w:pStyle w:val="2"/>
        <w:spacing w:line="360" w:lineRule="exact"/>
        <w:ind w:firstLine="482" w:firstLineChars="200"/>
        <w:rPr>
          <w:rFonts w:hint="eastAsia" w:ascii="黑体" w:eastAsia="黑体" w:cs="黑体"/>
          <w:b/>
          <w:bCs/>
          <w:color w:val="auto"/>
          <w:sz w:val="24"/>
          <w:szCs w:val="24"/>
          <w:lang w:val="en-US" w:eastAsia="zh-CN" w:bidi="ar-SA"/>
        </w:rPr>
      </w:pPr>
      <w:r>
        <w:rPr>
          <w:rFonts w:hint="eastAsia" w:ascii="黑体" w:eastAsia="黑体" w:cs="黑体"/>
          <w:b/>
          <w:bCs/>
          <w:color w:val="auto"/>
          <w:sz w:val="24"/>
          <w:szCs w:val="24"/>
          <w:lang w:val="en-US" w:eastAsia="zh-CN" w:bidi="ar-SA"/>
        </w:rPr>
        <w:t>第六条 违约责任</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黑体" w:eastAsia="黑体"/>
          <w:b/>
          <w:sz w:val="21"/>
          <w:szCs w:val="21"/>
          <w:lang w:val="en-US" w:eastAsia="zh-CN"/>
        </w:rPr>
      </w:pPr>
      <w:r>
        <w:rPr>
          <w:rFonts w:hint="eastAsia" w:ascii="宋体" w:eastAsia="宋体" w:cs="宋体"/>
          <w:color w:val="auto"/>
          <w:sz w:val="21"/>
          <w:szCs w:val="21"/>
          <w:lang w:val="en-US" w:eastAsia="zh-CN" w:bidi="ar-SA"/>
        </w:rPr>
        <w:t>6.1乙方因正当理由（包括但不限于：甲方有任何舞弊、欺诈或非真实交易的情形；信用卡由于被取消、管制、终止、已经过期并不被续期等原因变为不正常状态；甲方缴款延滞；甲方身故；甲方违反了乙方的信用卡领用合约、信用卡章程、本协议条款中的任何规定等）并符合监管要求前提下，</w:t>
      </w:r>
      <w:r>
        <w:rPr>
          <w:rFonts w:hint="eastAsia" w:ascii="黑体" w:eastAsia="黑体"/>
          <w:b/>
          <w:sz w:val="21"/>
          <w:szCs w:val="21"/>
          <w:lang w:val="en-US" w:eastAsia="zh-CN"/>
        </w:rPr>
        <w:t>有权根据甲方的资质状况、还款情况等判断，如确定甲方的账户不再适合进行分期业务时，甲方的剩余分期本金全部视为到期。乙方有权要求甲方一次性偿还剩余未还的分期本金、分期利息、透支利息、违约金等费用。</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6.2</w:t>
      </w:r>
      <w:r>
        <w:rPr>
          <w:rFonts w:hint="eastAsia" w:ascii="黑体" w:eastAsia="黑体"/>
          <w:b/>
          <w:sz w:val="21"/>
          <w:szCs w:val="21"/>
          <w:lang w:val="en-US" w:eastAsia="zh-CN"/>
        </w:rPr>
        <w:t>当甲方有逾期行为时，乙方有权在通过短信、电话等形式告知甲方后，从甲方在乙方及其各分支机构开立的账户中扣收相应款项以偿还欠款。</w:t>
      </w:r>
      <w:r>
        <w:rPr>
          <w:rFonts w:hint="eastAsia" w:ascii="宋体" w:eastAsia="宋体" w:cs="宋体"/>
          <w:color w:val="auto"/>
          <w:sz w:val="21"/>
          <w:szCs w:val="21"/>
          <w:lang w:val="en-US" w:eastAsia="zh-CN" w:bidi="ar-SA"/>
        </w:rPr>
        <w:t>如账户中资金不足以清偿全部欠款的，乙方有权就不足部分继续向甲方追索。</w:t>
      </w:r>
    </w:p>
    <w:p>
      <w:pPr>
        <w:pStyle w:val="2"/>
        <w:spacing w:line="360" w:lineRule="exact"/>
        <w:ind w:firstLine="482" w:firstLineChars="200"/>
        <w:rPr>
          <w:rFonts w:hint="eastAsia" w:ascii="黑体" w:eastAsia="黑体" w:cs="黑体"/>
          <w:b/>
          <w:bCs/>
          <w:color w:val="auto"/>
          <w:sz w:val="24"/>
          <w:szCs w:val="24"/>
          <w:lang w:val="en-US" w:eastAsia="zh-CN" w:bidi="ar-SA"/>
        </w:rPr>
      </w:pPr>
      <w:r>
        <w:rPr>
          <w:rFonts w:hint="eastAsia" w:ascii="黑体" w:eastAsia="黑体" w:cs="黑体"/>
          <w:b/>
          <w:bCs/>
          <w:color w:val="auto"/>
          <w:sz w:val="24"/>
          <w:szCs w:val="24"/>
          <w:lang w:val="en-US" w:eastAsia="zh-CN" w:bidi="ar-SA"/>
        </w:rPr>
        <w:t>第七条 其他</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7.1甲方可通过电子渠道或口头确认（以乙方系统记录的录音为准）本协议。</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7.2如需进行业务咨询和投诉，请拨打中国邮政储蓄银行24小时信用卡客服热线400-88-95580进行咨询或投诉。</w:t>
      </w:r>
    </w:p>
    <w:p>
      <w:pPr>
        <w:keepNext w:val="0"/>
        <w:keepLines w:val="0"/>
        <w:pageBreakBefore w:val="0"/>
        <w:widowControl w:val="0"/>
        <w:kinsoku/>
        <w:wordWrap/>
        <w:overflowPunct/>
        <w:topLinePunct w:val="0"/>
        <w:autoSpaceDE/>
        <w:autoSpaceDN/>
        <w:adjustRightInd/>
        <w:snapToGrid/>
        <w:spacing w:line="360" w:lineRule="exact"/>
        <w:ind w:firstLine="422" w:firstLineChars="200"/>
        <w:jc w:val="both"/>
        <w:rPr>
          <w:rFonts w:hint="eastAsia" w:ascii="黑体" w:eastAsia="黑体"/>
          <w:b/>
          <w:sz w:val="21"/>
          <w:szCs w:val="21"/>
          <w:lang w:val="en-US" w:eastAsia="zh-CN"/>
        </w:rPr>
      </w:pPr>
      <w:r>
        <w:rPr>
          <w:rFonts w:hint="eastAsia" w:ascii="黑体" w:eastAsia="黑体"/>
          <w:b/>
          <w:sz w:val="21"/>
          <w:szCs w:val="21"/>
          <w:lang w:val="en-US" w:eastAsia="zh-CN"/>
        </w:rPr>
        <w:t>7.3乙方对服务价格及与价格有关的例外条款和限制性条款，分期渠道、分期期数、分期利息、优惠活动等分期业务规则通过分支行网点或官网网站渠道向甲方明示。经明示的各类规则视为本协议不可分割的一部分，与本协议具有同等法律效力。</w:t>
      </w:r>
    </w:p>
    <w:p>
      <w:pPr>
        <w:keepNext w:val="0"/>
        <w:keepLines w:val="0"/>
        <w:pageBreakBefore w:val="0"/>
        <w:widowControl w:val="0"/>
        <w:kinsoku/>
        <w:wordWrap/>
        <w:overflowPunct/>
        <w:topLinePunct w:val="0"/>
        <w:autoSpaceDE/>
        <w:autoSpaceDN/>
        <w:adjustRightInd/>
        <w:snapToGrid/>
        <w:spacing w:line="360" w:lineRule="exact"/>
        <w:ind w:firstLine="422" w:firstLineChars="200"/>
        <w:jc w:val="both"/>
        <w:rPr>
          <w:rFonts w:hint="eastAsia" w:ascii="黑体" w:eastAsia="黑体"/>
          <w:b/>
          <w:sz w:val="21"/>
          <w:szCs w:val="21"/>
          <w:lang w:val="en-US" w:eastAsia="zh-CN"/>
        </w:rPr>
      </w:pPr>
      <w:r>
        <w:rPr>
          <w:rFonts w:hint="eastAsia" w:ascii="黑体" w:eastAsia="黑体"/>
          <w:b/>
          <w:sz w:val="21"/>
          <w:szCs w:val="21"/>
          <w:lang w:val="en-US" w:eastAsia="zh-CN"/>
        </w:rPr>
        <w:t>7.4乙方保留根据国家法律法规及政策要求或银行经营管理和风险控制等需要修改、增加或删减本协议的权利，修改时乙方可通过邮储银行官网网站（www.psbc.com）公告等方式通知甲方，自公告之日起45日后生效（法律法规另有规定的除外），原协议同时废止。甲方在公告生效前办理的业务，以甲方办理该业务时的协议为准。甲方在公告生效后继续办理本业务，即视为甲方已仔细认真阅读、充分理解并同意修改后的本协议及各类规则，且甲方承诺遵守并承担相应的义务与责任。若甲方不同意修改后的本协议及各类规则，应立即停止办理本业务。乙方保留中止、终止或限制甲方继续使用本平台服务的权利，但该等中止、终止或限制行为并不豁免甲方在已经进行的交易下所应承担的责任和义务。</w:t>
      </w:r>
    </w:p>
    <w:p>
      <w:pPr>
        <w:keepNext w:val="0"/>
        <w:keepLines w:val="0"/>
        <w:pageBreakBefore w:val="0"/>
        <w:widowControl w:val="0"/>
        <w:kinsoku/>
        <w:wordWrap/>
        <w:overflowPunct/>
        <w:topLinePunct w:val="0"/>
        <w:autoSpaceDE/>
        <w:autoSpaceDN/>
        <w:adjustRightInd/>
        <w:snapToGrid/>
        <w:spacing w:line="360" w:lineRule="exact"/>
        <w:ind w:firstLine="420" w:firstLineChars="200"/>
        <w:jc w:val="both"/>
        <w:rPr>
          <w:rFonts w:hint="eastAsia" w:ascii="宋体" w:eastAsia="宋体" w:cs="宋体"/>
          <w:color w:val="auto"/>
          <w:sz w:val="21"/>
          <w:szCs w:val="21"/>
          <w:lang w:val="en-US" w:eastAsia="zh-CN" w:bidi="ar-SA"/>
        </w:rPr>
      </w:pPr>
      <w:r>
        <w:rPr>
          <w:rFonts w:hint="eastAsia" w:ascii="宋体" w:eastAsia="宋体" w:cs="宋体"/>
          <w:color w:val="auto"/>
          <w:sz w:val="21"/>
          <w:szCs w:val="21"/>
          <w:lang w:val="en-US" w:eastAsia="zh-CN" w:bidi="ar-SA"/>
        </w:rPr>
        <w:t>7.5不良征信报送、个人信息处理等其他未尽事宜均依据《中国邮政储蓄银行信用卡（个人卡）章程》及《中国邮政储蓄银行信用卡（个人卡）领用合约》执行。甲方可登陆乙方官方网站（www.psbc.com）进行查询。</w:t>
      </w:r>
    </w:p>
    <w:p>
      <w:pPr>
        <w:keepNext w:val="0"/>
        <w:keepLines w:val="0"/>
        <w:pageBreakBefore w:val="0"/>
        <w:widowControl w:val="0"/>
        <w:kinsoku/>
        <w:wordWrap/>
        <w:overflowPunct/>
        <w:topLinePunct w:val="0"/>
        <w:autoSpaceDE/>
        <w:autoSpaceDN/>
        <w:adjustRightInd/>
        <w:snapToGrid/>
        <w:spacing w:line="360" w:lineRule="exact"/>
        <w:ind w:firstLine="422" w:firstLineChars="200"/>
        <w:jc w:val="both"/>
        <w:rPr>
          <w:rFonts w:hint="eastAsia" w:ascii="黑体" w:eastAsia="黑体" w:cs="Times New Roman"/>
          <w:b/>
          <w:sz w:val="21"/>
          <w:szCs w:val="21"/>
          <w:lang w:val="en-US" w:eastAsia="zh-CN" w:bidi="ar-SA"/>
        </w:rPr>
      </w:pPr>
      <w:r>
        <w:rPr>
          <w:rFonts w:hint="eastAsia" w:ascii="黑体" w:eastAsia="黑体" w:cs="Times New Roman"/>
          <w:b/>
          <w:sz w:val="21"/>
          <w:szCs w:val="21"/>
          <w:lang w:val="en-US" w:eastAsia="zh-CN" w:bidi="ar-SA"/>
        </w:rPr>
        <w:t>7.6双方在履行本协议过程中，</w:t>
      </w:r>
      <w:r>
        <w:rPr>
          <w:rFonts w:hint="eastAsia" w:ascii="黑体" w:eastAsia="黑体" w:cs="Times New Roman"/>
          <w:b/>
          <w:sz w:val="21"/>
          <w:szCs w:val="21"/>
          <w:lang w:bidi="ar-SA"/>
        </w:rPr>
        <w:t>如发生争议，可由双方协商或者通过调解解决。协商解决不成提起诉讼者，由乙方住所地有管辖权的人民法院管辖</w:t>
      </w:r>
      <w:r>
        <w:rPr>
          <w:rFonts w:hint="eastAsia" w:ascii="黑体" w:eastAsia="黑体" w:cs="Times New Roman"/>
          <w:b/>
          <w:sz w:val="21"/>
          <w:szCs w:val="21"/>
          <w:lang w:val="en-US" w:eastAsia="zh-CN" w:bidi="ar-SA"/>
        </w:rPr>
        <w:t>。</w:t>
      </w:r>
    </w:p>
    <w:p>
      <w:pPr>
        <w:keepNext w:val="0"/>
        <w:keepLines w:val="0"/>
        <w:pageBreakBefore w:val="0"/>
        <w:widowControl w:val="0"/>
        <w:kinsoku/>
        <w:wordWrap/>
        <w:overflowPunct/>
        <w:topLinePunct w:val="0"/>
        <w:autoSpaceDE/>
        <w:autoSpaceDN/>
        <w:adjustRightInd/>
        <w:snapToGrid/>
        <w:spacing w:line="360" w:lineRule="exact"/>
        <w:ind w:firstLine="422" w:firstLineChars="200"/>
        <w:jc w:val="both"/>
        <w:rPr>
          <w:rFonts w:hint="eastAsia" w:ascii="黑体" w:eastAsia="黑体" w:cs="Times New Roman"/>
          <w:b/>
          <w:sz w:val="21"/>
          <w:szCs w:val="21"/>
          <w:lang w:val="en-US" w:eastAsia="zh-CN" w:bidi="ar-SA"/>
        </w:rPr>
      </w:pPr>
    </w:p>
    <w:p>
      <w:pPr>
        <w:keepNext w:val="0"/>
        <w:keepLines w:val="0"/>
        <w:pageBreakBefore w:val="0"/>
        <w:widowControl w:val="0"/>
        <w:kinsoku/>
        <w:wordWrap/>
        <w:overflowPunct/>
        <w:topLinePunct w:val="0"/>
        <w:autoSpaceDE/>
        <w:autoSpaceDN/>
        <w:adjustRightInd/>
        <w:snapToGrid/>
        <w:spacing w:line="360" w:lineRule="exact"/>
        <w:ind w:firstLine="482" w:firstLineChars="200"/>
        <w:jc w:val="both"/>
        <w:rPr>
          <w:rFonts w:hint="eastAsia" w:ascii="黑体" w:eastAsia="黑体"/>
          <w:b/>
          <w:sz w:val="24"/>
          <w:szCs w:val="24"/>
          <w:lang w:val="en-US" w:eastAsia="zh-CN"/>
        </w:rPr>
      </w:pPr>
      <w:r>
        <w:rPr>
          <w:rFonts w:hint="eastAsia" w:ascii="黑体" w:eastAsia="黑体"/>
          <w:b/>
          <w:sz w:val="24"/>
          <w:szCs w:val="24"/>
          <w:lang w:val="en-US" w:eastAsia="zh-CN"/>
        </w:rPr>
        <w:t>甲方声明：乙方已依法向我提示了本协议相关条款（</w:t>
      </w:r>
      <w:r>
        <w:rPr>
          <w:rFonts w:hint="eastAsia" w:ascii="黑体" w:eastAsia="黑体" w:cs="黑体"/>
          <w:b/>
          <w:color w:val="auto"/>
          <w:kern w:val="2"/>
          <w:sz w:val="24"/>
          <w:szCs w:val="24"/>
          <w:highlight w:val="none"/>
          <w:lang w:val="en-US" w:eastAsia="zh-CN" w:bidi="ar-SA"/>
        </w:rPr>
        <w:t>特别是含有黑体字标题或黑体字文字的条款</w:t>
      </w:r>
      <w:r>
        <w:rPr>
          <w:rFonts w:hint="eastAsia" w:ascii="黑体" w:eastAsia="黑体"/>
          <w:b/>
          <w:sz w:val="24"/>
          <w:szCs w:val="24"/>
          <w:lang w:val="en-US" w:eastAsia="zh-CN"/>
        </w:rPr>
        <w:t>），应我方要求对相关条款的概念、内容及法律效果做了说明，我方已知悉并理解上述条款。同意接受本协议的全部约定内容。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0C8972AC"/>
    <w:rsid w:val="19BE2156"/>
    <w:rsid w:val="1AA72671"/>
    <w:rsid w:val="1CCF07AF"/>
    <w:rsid w:val="2FB51C48"/>
    <w:rsid w:val="46527D46"/>
    <w:rsid w:val="5ECD052D"/>
    <w:rsid w:val="69B4753B"/>
    <w:rsid w:val="6C053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widowControl w:val="0"/>
      <w:spacing w:before="340" w:beforeAutospacing="0" w:after="330" w:afterAutospacing="0" w:line="576" w:lineRule="auto"/>
      <w:jc w:val="both"/>
      <w:outlineLvl w:val="0"/>
    </w:pPr>
    <w:rPr>
      <w:rFonts w:ascii="Calibri" w:hAnsi="Calibri" w:eastAsia="方正小标宋简体" w:cs="Times New Roman"/>
      <w:b/>
      <w:kern w:val="44"/>
      <w:sz w:val="36"/>
      <w:szCs w:val="24"/>
      <w:lang w:val="en-US" w:eastAsia="zh-CN" w:bidi="ar-SA"/>
    </w:rPr>
  </w:style>
  <w:style w:type="paragraph" w:styleId="3">
    <w:name w:val="heading 2"/>
    <w:basedOn w:val="1"/>
    <w:next w:val="1"/>
    <w:link w:val="1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qFormat/>
    <w:uiPriority w:val="0"/>
    <w:pPr>
      <w:widowControl w:val="0"/>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character" w:customStyle="1" w:styleId="9">
    <w:name w:val="heading 1 Char"/>
    <w:basedOn w:val="8"/>
    <w:link w:val="2"/>
    <w:qFormat/>
    <w:uiPriority w:val="0"/>
    <w:rPr>
      <w:rFonts w:ascii="Calibri" w:hAnsi="Calibri" w:eastAsia="方正小标宋简体" w:cs="Times New Roman"/>
      <w:b/>
      <w:kern w:val="44"/>
      <w:sz w:val="36"/>
      <w:szCs w:val="24"/>
      <w:lang w:val="en-US" w:eastAsia="zh-CN" w:bidi="ar-SA"/>
    </w:rPr>
  </w:style>
  <w:style w:type="character" w:customStyle="1" w:styleId="10">
    <w:name w:val="heading 2 Char"/>
    <w:basedOn w:val="8"/>
    <w:link w:val="3"/>
    <w:qFormat/>
    <w:uiPriority w:val="0"/>
    <w:rPr>
      <w:rFonts w:ascii="Times New Roman" w:hAnsi="Calibri" w:eastAsia="黑体" w:cs="Times New Roman"/>
      <w:b/>
      <w:bCs/>
      <w:kern w:val="2"/>
      <w:sz w:val="32"/>
      <w:szCs w:val="32"/>
      <w:lang w:val="en-US" w:eastAsia="zh-CN" w:bidi="ar-SA"/>
    </w:rPr>
  </w:style>
  <w:style w:type="character" w:customStyle="1" w:styleId="11">
    <w:name w:val="heading 3 Char"/>
    <w:basedOn w:val="8"/>
    <w:link w:val="4"/>
    <w:qFormat/>
    <w:uiPriority w:val="0"/>
    <w:rPr>
      <w:rFonts w:ascii="Calibri"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BDFE9-E23A-4EEC-9A3A-989A77B00563}">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4</Pages>
  <Words>0</Words>
  <Characters>2469</Characters>
  <Lines>0</Lines>
  <Paragraphs>71</Paragraphs>
  <TotalTime>1</TotalTime>
  <ScaleCrop>false</ScaleCrop>
  <LinksUpToDate>false</LinksUpToDate>
  <CharactersWithSpaces>3292</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顺其自然</cp:lastModifiedBy>
  <dcterms:modified xsi:type="dcterms:W3CDTF">2024-08-07T07:49:50Z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