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right"/>
        <w:rPr>
          <w:rFonts w:ascii="楷体_GB2312" w:hAnsi="Arial" w:eastAsia="楷体_GB2312" w:cs="Arial"/>
          <w:kern w:val="0"/>
          <w:sz w:val="24"/>
        </w:rPr>
      </w:pPr>
    </w:p>
    <w:p>
      <w:pPr>
        <w:spacing w:beforeLines="5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中邮理财净值型理财产品托管操作协议</w:t>
      </w:r>
    </w:p>
    <w:p>
      <w:pPr>
        <w:spacing w:beforeLines="5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之补充协议一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管理人：中邮理财有限责任公司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托管人：中国邮政储蓄银行股份有限公司北京分行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鉴于：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双方当事人于2020年1月签署了编号为：2020-01号的《中邮理财净值型理财产品托管操作协议》（以下简称“原协议”）。根据原协议之约定，经双方当事人协商一致，就相关变更事项订立本补充协议，以资共同遵守。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一、将原协议第六章第（一）节中的以下条款：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eastAsia="楷体_GB2312" w:cs="宋体"/>
          <w:kern w:val="0"/>
          <w:sz w:val="24"/>
        </w:rPr>
        <w:t>“若理财产品说明书或投资监督事项表没有明确约定的，涉及到投资比例类的指标，则资产投资比例以资产估值结果（不含应计利息）占产品资产净值的比例计算。”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修订为：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“</w:t>
      </w:r>
      <w:r>
        <w:rPr>
          <w:rFonts w:hint="eastAsia" w:ascii="楷体_GB2312" w:eastAsia="楷体_GB2312" w:cs="宋体"/>
          <w:kern w:val="0"/>
          <w:sz w:val="24"/>
        </w:rPr>
        <w:t>若理财产品说明书或投资监督事项表没有明确约定的，涉及到投资比例类的指标，则资产投资比例以资产估值结果占产品资产总值的比例计算。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”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二、将原协议第十一章第（二）节中的以下条款：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“托管费：托管费由理财资产承担。</w:t>
      </w:r>
      <w:r>
        <w:rPr>
          <w:rFonts w:hint="eastAsia" w:ascii="楷体_GB2312" w:hAnsi="宋体" w:eastAsia="楷体_GB2312"/>
          <w:kern w:val="0"/>
          <w:sz w:val="24"/>
        </w:rPr>
        <w:t>托管费率（年化）为0.05%。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”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修订为：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“托管费：托管费由理财资产承担。</w:t>
      </w:r>
      <w:r>
        <w:rPr>
          <w:rFonts w:hint="eastAsia" w:ascii="楷体_GB2312" w:eastAsia="楷体_GB2312" w:cs="宋体"/>
          <w:kern w:val="0"/>
          <w:sz w:val="24"/>
        </w:rPr>
        <w:t>自2021年</w:t>
      </w:r>
      <w:r>
        <w:rPr>
          <w:rFonts w:hint="default" w:ascii="楷体_GB2312" w:eastAsia="楷体_GB2312" w:cs="宋体"/>
          <w:kern w:val="0"/>
          <w:sz w:val="24"/>
        </w:rPr>
        <w:t>1</w:t>
      </w:r>
      <w:r>
        <w:rPr>
          <w:rFonts w:hint="eastAsia" w:ascii="楷体_GB2312" w:eastAsia="楷体_GB2312" w:cs="宋体"/>
          <w:kern w:val="0"/>
          <w:sz w:val="24"/>
        </w:rPr>
        <w:t>月</w:t>
      </w:r>
      <w:r>
        <w:rPr>
          <w:rFonts w:hint="default" w:ascii="楷体_GB2312" w:eastAsia="楷体_GB2312" w:cs="宋体"/>
          <w:kern w:val="0"/>
          <w:sz w:val="24"/>
        </w:rPr>
        <w:t>1</w:t>
      </w:r>
      <w:r>
        <w:rPr>
          <w:rFonts w:hint="eastAsia" w:ascii="楷体_GB2312" w:eastAsia="楷体_GB2312" w:cs="宋体"/>
          <w:kern w:val="0"/>
          <w:sz w:val="24"/>
        </w:rPr>
        <w:t>日——2</w:t>
      </w:r>
      <w:r>
        <w:rPr>
          <w:rFonts w:ascii="楷体_GB2312" w:eastAsia="楷体_GB2312" w:cs="宋体"/>
          <w:kern w:val="0"/>
          <w:sz w:val="24"/>
        </w:rPr>
        <w:t>021</w:t>
      </w:r>
      <w:r>
        <w:rPr>
          <w:rFonts w:hint="eastAsia" w:ascii="楷体_GB2312" w:eastAsia="楷体_GB2312" w:cs="宋体"/>
          <w:kern w:val="0"/>
          <w:sz w:val="24"/>
        </w:rPr>
        <w:t>年1</w:t>
      </w:r>
      <w:r>
        <w:rPr>
          <w:rFonts w:ascii="楷体_GB2312" w:eastAsia="楷体_GB2312" w:cs="宋体"/>
          <w:kern w:val="0"/>
          <w:sz w:val="24"/>
        </w:rPr>
        <w:t>2</w:t>
      </w:r>
      <w:r>
        <w:rPr>
          <w:rFonts w:hint="eastAsia" w:ascii="楷体_GB2312" w:eastAsia="楷体_GB2312" w:cs="宋体"/>
          <w:kern w:val="0"/>
          <w:sz w:val="24"/>
        </w:rPr>
        <w:t>月3</w:t>
      </w:r>
      <w:r>
        <w:rPr>
          <w:rFonts w:ascii="楷体_GB2312" w:eastAsia="楷体_GB2312" w:cs="宋体"/>
          <w:kern w:val="0"/>
          <w:sz w:val="24"/>
        </w:rPr>
        <w:t>1</w:t>
      </w:r>
      <w:r>
        <w:rPr>
          <w:rFonts w:hint="eastAsia" w:ascii="楷体_GB2312" w:eastAsia="楷体_GB2312" w:cs="宋体"/>
          <w:kern w:val="0"/>
          <w:sz w:val="24"/>
        </w:rPr>
        <w:t>日，新发行产品托管费</w:t>
      </w:r>
      <w:r>
        <w:rPr>
          <w:rFonts w:hint="eastAsia" w:ascii="楷体_GB2312" w:hAnsi="宋体" w:eastAsia="楷体_GB2312"/>
          <w:kern w:val="0"/>
          <w:sz w:val="24"/>
        </w:rPr>
        <w:t>率（年化）为0.03%，存续产品托管费率（年化）为0</w:t>
      </w:r>
      <w:r>
        <w:rPr>
          <w:rFonts w:ascii="楷体_GB2312" w:hAnsi="宋体" w:eastAsia="楷体_GB2312"/>
          <w:kern w:val="0"/>
          <w:sz w:val="24"/>
        </w:rPr>
        <w:t>.05</w:t>
      </w:r>
      <w:r>
        <w:rPr>
          <w:rFonts w:hint="eastAsia" w:ascii="楷体_GB2312" w:hAnsi="宋体" w:eastAsia="楷体_GB2312"/>
          <w:kern w:val="0"/>
          <w:sz w:val="24"/>
        </w:rPr>
        <w:t>%</w:t>
      </w:r>
      <w:r>
        <w:rPr>
          <w:rFonts w:hint="eastAsia" w:ascii="楷体_GB2312" w:eastAsia="楷体_GB2312" w:cs="宋体"/>
          <w:kern w:val="0"/>
          <w:sz w:val="24"/>
        </w:rPr>
        <w:t>。2</w:t>
      </w:r>
      <w:r>
        <w:rPr>
          <w:rFonts w:ascii="楷体_GB2312" w:eastAsia="楷体_GB2312" w:cs="宋体"/>
          <w:kern w:val="0"/>
          <w:sz w:val="24"/>
        </w:rPr>
        <w:t>022</w:t>
      </w:r>
      <w:r>
        <w:rPr>
          <w:rFonts w:hint="eastAsia" w:ascii="楷体_GB2312" w:eastAsia="楷体_GB2312" w:cs="宋体"/>
          <w:kern w:val="0"/>
          <w:sz w:val="24"/>
        </w:rPr>
        <w:t>年以后托管费率由双方重新协商定价。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”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eastAsia="楷体_GB2312" w:cs="宋体"/>
          <w:kern w:val="0"/>
          <w:sz w:val="24"/>
          <w:szCs w:val="22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三、</w:t>
      </w:r>
      <w:r>
        <w:rPr>
          <w:rFonts w:hint="eastAsia" w:ascii="楷体_GB2312" w:eastAsia="楷体_GB2312" w:cs="宋体"/>
          <w:kern w:val="0"/>
          <w:sz w:val="24"/>
          <w:szCs w:val="22"/>
        </w:rPr>
        <w:t>本补充协议自双方法定代表人（负责人）或授权代表签章并加盖双方公章或合同专用章之日起生效，至原协议终止之日终止。本补充协议与原协议不一致的，以本补充协议为准。本补充协议未约定的，按照原协议执行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楷体_GB2312" w:hAnsi="宋体" w:eastAsia="楷体_GB2312" w:cs="宋体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 xml:space="preserve">四、本补充协议一式肆份，管理人贰份，托管人贰份，每份具有同等法律效力。 </w:t>
      </w:r>
    </w:p>
    <w:p>
      <w:bookmarkStart w:id="0" w:name="_GoBack"/>
      <w:bookmarkEnd w:id="0"/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start="1"/>
      <w:cols w:space="720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A44D36"/>
    <w:rsid w:val="00065AD0"/>
    <w:rsid w:val="00087FA0"/>
    <w:rsid w:val="00162126"/>
    <w:rsid w:val="00175ACE"/>
    <w:rsid w:val="002D060E"/>
    <w:rsid w:val="00331CD1"/>
    <w:rsid w:val="00387F00"/>
    <w:rsid w:val="00391F86"/>
    <w:rsid w:val="003A7A39"/>
    <w:rsid w:val="00570123"/>
    <w:rsid w:val="00767A42"/>
    <w:rsid w:val="009C06AC"/>
    <w:rsid w:val="00A0025D"/>
    <w:rsid w:val="00A41F8E"/>
    <w:rsid w:val="00B514E6"/>
    <w:rsid w:val="00B60A94"/>
    <w:rsid w:val="00B64B41"/>
    <w:rsid w:val="00BE6910"/>
    <w:rsid w:val="00C05BA9"/>
    <w:rsid w:val="00C43A08"/>
    <w:rsid w:val="00DF175A"/>
    <w:rsid w:val="00E02F13"/>
    <w:rsid w:val="00E94782"/>
    <w:rsid w:val="00F23BDF"/>
    <w:rsid w:val="00F5005B"/>
    <w:rsid w:val="0B9D44CA"/>
    <w:rsid w:val="0D492646"/>
    <w:rsid w:val="0D631AA6"/>
    <w:rsid w:val="0F855E4A"/>
    <w:rsid w:val="0FBF0670"/>
    <w:rsid w:val="13D82B3C"/>
    <w:rsid w:val="13E97A2A"/>
    <w:rsid w:val="18D82E9A"/>
    <w:rsid w:val="1AFE39D0"/>
    <w:rsid w:val="21E970BE"/>
    <w:rsid w:val="241E1D92"/>
    <w:rsid w:val="264F7E97"/>
    <w:rsid w:val="291C6DAD"/>
    <w:rsid w:val="29482987"/>
    <w:rsid w:val="29A44D36"/>
    <w:rsid w:val="29DF392F"/>
    <w:rsid w:val="29E16AD1"/>
    <w:rsid w:val="2BA63002"/>
    <w:rsid w:val="2C62372D"/>
    <w:rsid w:val="2F3A586F"/>
    <w:rsid w:val="33B1704E"/>
    <w:rsid w:val="33E91908"/>
    <w:rsid w:val="376B5029"/>
    <w:rsid w:val="3B0F1B7C"/>
    <w:rsid w:val="3DA4185B"/>
    <w:rsid w:val="3F694EF3"/>
    <w:rsid w:val="41117D93"/>
    <w:rsid w:val="41925C57"/>
    <w:rsid w:val="439E2F74"/>
    <w:rsid w:val="46E776DC"/>
    <w:rsid w:val="472F0ECD"/>
    <w:rsid w:val="4741214D"/>
    <w:rsid w:val="49934C6C"/>
    <w:rsid w:val="49AF5FA3"/>
    <w:rsid w:val="4A4551B6"/>
    <w:rsid w:val="4B347F64"/>
    <w:rsid w:val="5517692B"/>
    <w:rsid w:val="59EC54E6"/>
    <w:rsid w:val="5D89534A"/>
    <w:rsid w:val="62495E02"/>
    <w:rsid w:val="64F31FE1"/>
    <w:rsid w:val="66040683"/>
    <w:rsid w:val="67801F5C"/>
    <w:rsid w:val="6B517123"/>
    <w:rsid w:val="78521F6B"/>
    <w:rsid w:val="78F42E63"/>
    <w:rsid w:val="79B748BF"/>
    <w:rsid w:val="EE7EB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Calibri" w:hAnsi="Calibri"/>
      <w:kern w:val="2"/>
      <w:sz w:val="21"/>
    </w:rPr>
  </w:style>
  <w:style w:type="character" w:customStyle="1" w:styleId="13">
    <w:name w:val="批注主题 Char"/>
    <w:basedOn w:val="12"/>
    <w:link w:val="6"/>
    <w:qFormat/>
    <w:uiPriority w:val="0"/>
    <w:rPr>
      <w:rFonts w:ascii="Calibri" w:hAnsi="Calibri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207</Characters>
  <Lines>1</Lines>
  <Paragraphs>1</Paragraphs>
  <TotalTime>3</TotalTime>
  <ScaleCrop>false</ScaleCrop>
  <LinksUpToDate>false</LinksUpToDate>
  <CharactersWithSpaces>969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2021-01-14T16:30:00Z</dcterms:created>
  <dc:creator>丰珂</dc:creator>
  <cp:lastModifiedBy>张干</cp:lastModifiedBy>
  <dcterms:modified xsi:type="dcterms:W3CDTF">2022-08-03T15:27:08Z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A4C6139CD7D8B6EC4C23EA62B19A8B33</vt:lpwstr>
  </property>
</Properties>
</file>